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2341"/>
        <w:tblW w:w="9918" w:type="dxa"/>
        <w:tblLayout w:type="fixed"/>
        <w:tblCellMar>
          <w:left w:w="0" w:type="dxa"/>
          <w:right w:w="0" w:type="dxa"/>
        </w:tblCellMar>
        <w:tblLook w:val="04A0"/>
      </w:tblPr>
      <w:tblGrid>
        <w:gridCol w:w="968"/>
        <w:gridCol w:w="2143"/>
        <w:gridCol w:w="1661"/>
        <w:gridCol w:w="1171"/>
        <w:gridCol w:w="746"/>
        <w:gridCol w:w="535"/>
        <w:gridCol w:w="2694"/>
      </w:tblGrid>
      <w:tr w:rsidR="002A687E" w:rsidRPr="000C024D" w:rsidTr="000C024D">
        <w:trPr>
          <w:trHeight w:val="1"/>
        </w:trPr>
        <w:tc>
          <w:tcPr>
            <w:tcW w:w="968" w:type="dxa"/>
            <w:tcBorders>
              <w:top w:val="single" w:sz="8" w:space="0" w:color="auto"/>
              <w:left w:val="single" w:sz="8" w:space="0" w:color="auto"/>
              <w:bottom w:val="single" w:sz="8" w:space="0" w:color="auto"/>
              <w:right w:val="single" w:sz="8" w:space="0" w:color="auto"/>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案号</w:t>
            </w:r>
          </w:p>
        </w:tc>
        <w:tc>
          <w:tcPr>
            <w:tcW w:w="8950"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rPr>
                <w:rFonts w:ascii="仿宋_GB2312" w:eastAsia="仿宋_GB2312" w:cs="Times New Roman"/>
              </w:rPr>
            </w:pPr>
            <w:bookmarkStart w:id="0" w:name="@案号@"/>
            <w:r w:rsidRPr="000C024D">
              <w:rPr>
                <w:rFonts w:ascii="仿宋_GB2312" w:eastAsia="仿宋_GB2312" w:cs="Times New Roman" w:hint="eastAsia"/>
                <w:color w:val="000000"/>
              </w:rPr>
              <w:t>【</w:t>
            </w:r>
            <w:bookmarkEnd w:id="0"/>
            <w:r w:rsidRPr="000C024D">
              <w:rPr>
                <w:rFonts w:ascii="仿宋_GB2312" w:eastAsia="仿宋_GB2312" w:cs="Times New Roman" w:hint="eastAsia"/>
                <w:color w:val="0000FF"/>
              </w:rPr>
              <w:t>案号</w:t>
            </w:r>
            <w:r w:rsidRPr="000C024D">
              <w:rPr>
                <w:rFonts w:ascii="仿宋_GB2312" w:eastAsia="仿宋_GB2312" w:cs="Times New Roman" w:hint="eastAsia"/>
                <w:color w:val="000000"/>
              </w:rPr>
              <w:t>】</w:t>
            </w:r>
          </w:p>
        </w:tc>
      </w:tr>
      <w:tr w:rsidR="002A687E" w:rsidRPr="000C024D" w:rsidTr="000C024D">
        <w:trPr>
          <w:trHeight w:val="1"/>
        </w:trPr>
        <w:tc>
          <w:tcPr>
            <w:tcW w:w="9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案由</w:t>
            </w:r>
          </w:p>
        </w:tc>
        <w:tc>
          <w:tcPr>
            <w:tcW w:w="8950" w:type="dxa"/>
            <w:gridSpan w:val="6"/>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rPr>
                <w:rFonts w:ascii="仿宋_GB2312" w:eastAsia="仿宋_GB2312" w:cs="Times New Roman"/>
              </w:rPr>
            </w:pPr>
            <w:bookmarkStart w:id="1" w:name="@案由@"/>
            <w:r w:rsidRPr="000C024D">
              <w:rPr>
                <w:rFonts w:ascii="仿宋_GB2312" w:eastAsia="仿宋_GB2312" w:cs="Times New Roman" w:hint="eastAsia"/>
                <w:color w:val="000000"/>
              </w:rPr>
              <w:t>【</w:t>
            </w:r>
            <w:bookmarkEnd w:id="1"/>
            <w:r w:rsidRPr="000C024D">
              <w:rPr>
                <w:rFonts w:ascii="仿宋_GB2312" w:eastAsia="仿宋_GB2312" w:cs="Times New Roman" w:hint="eastAsia"/>
                <w:color w:val="0000FF"/>
              </w:rPr>
              <w:t>案由</w:t>
            </w:r>
            <w:r w:rsidRPr="000C024D">
              <w:rPr>
                <w:rFonts w:ascii="仿宋_GB2312" w:eastAsia="仿宋_GB2312" w:cs="Times New Roman" w:hint="eastAsia"/>
                <w:color w:val="000000"/>
              </w:rPr>
              <w:t>】</w:t>
            </w:r>
          </w:p>
        </w:tc>
      </w:tr>
      <w:tr w:rsidR="002A687E" w:rsidRPr="000C024D" w:rsidTr="000C024D">
        <w:trPr>
          <w:trHeight w:val="5"/>
        </w:trPr>
        <w:tc>
          <w:tcPr>
            <w:tcW w:w="9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告知</w:t>
            </w:r>
          </w:p>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事项</w:t>
            </w:r>
          </w:p>
        </w:tc>
        <w:tc>
          <w:tcPr>
            <w:tcW w:w="8950" w:type="dxa"/>
            <w:gridSpan w:val="6"/>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1.为便于当事人</w:t>
            </w:r>
            <w:r w:rsidR="00D161A3" w:rsidRPr="00D161A3">
              <w:rPr>
                <w:rFonts w:ascii="仿宋_GB2312" w:eastAsia="仿宋_GB2312" w:cs="Times New Roman" w:hint="eastAsia"/>
              </w:rPr>
              <w:t>及其委托诉讼代理人</w:t>
            </w:r>
            <w:r w:rsidRPr="000C024D">
              <w:rPr>
                <w:rFonts w:ascii="仿宋_GB2312" w:eastAsia="仿宋_GB2312" w:cs="Times New Roman" w:hint="eastAsia"/>
              </w:rPr>
              <w:t>及时收到人民法院诉讼文书，保证诉讼程序顺利进行，当事人应当如实提供确切的送达地址</w:t>
            </w:r>
            <w:r w:rsidR="00E12655" w:rsidRPr="00E12655">
              <w:rPr>
                <w:rFonts w:ascii="仿宋_GB2312" w:eastAsia="仿宋_GB2312" w:cs="Times New Roman" w:hint="eastAsia"/>
              </w:rPr>
              <w:t>、联系电话</w:t>
            </w:r>
            <w:r w:rsidRPr="000C024D">
              <w:rPr>
                <w:rFonts w:ascii="仿宋_GB2312" w:eastAsia="仿宋_GB2312" w:cs="Times New Roman" w:hint="eastAsia"/>
              </w:rPr>
              <w:t>。</w:t>
            </w:r>
          </w:p>
          <w:p w:rsidR="002A687E" w:rsidRPr="000C024D" w:rsidRDefault="002A687E"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2．如果提供的地址不确切，或不及时告知变更后的地址，使诉讼文书无法送达或未及时送达，当事人</w:t>
            </w:r>
            <w:r w:rsidR="00D161A3" w:rsidRPr="00D161A3">
              <w:rPr>
                <w:rFonts w:ascii="仿宋_GB2312" w:eastAsia="仿宋_GB2312" w:cs="Times New Roman" w:hint="eastAsia"/>
              </w:rPr>
              <w:t>及其委托诉讼代理人</w:t>
            </w:r>
            <w:r w:rsidRPr="000C024D">
              <w:rPr>
                <w:rFonts w:ascii="仿宋_GB2312" w:eastAsia="仿宋_GB2312" w:cs="Times New Roman" w:hint="eastAsia"/>
              </w:rPr>
              <w:t>将自行承担由此可能产生的法律后果。</w:t>
            </w:r>
          </w:p>
          <w:p w:rsidR="002A687E" w:rsidRPr="000C024D" w:rsidRDefault="002A687E"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3．</w:t>
            </w:r>
            <w:r w:rsidR="00E12655">
              <w:rPr>
                <w:rFonts w:ascii="仿宋_GB2312" w:eastAsia="仿宋_GB2312" w:cs="Times New Roman" w:hint="eastAsia"/>
              </w:rPr>
              <w:t>为提高送达效率，法院可以采用传真、电子邮件等方式送达诉讼文书</w:t>
            </w:r>
            <w:r w:rsidR="00E12655" w:rsidRPr="000C024D">
              <w:rPr>
                <w:rFonts w:ascii="仿宋_GB2312" w:eastAsia="仿宋_GB2312" w:cs="Times New Roman" w:hint="eastAsia"/>
              </w:rPr>
              <w:t>。</w:t>
            </w:r>
            <w:r w:rsidR="00EF1C48" w:rsidRPr="00EF1C48">
              <w:rPr>
                <w:rFonts w:ascii="仿宋_GB2312" w:eastAsia="仿宋_GB2312" w:cs="Times New Roman" w:hint="eastAsia"/>
              </w:rPr>
              <w:t>通过电子方式送达的判决书、裁定书、调解书，受送达人提出需要纸质文书的，人民法院应当提供</w:t>
            </w:r>
            <w:r w:rsidRPr="000C024D">
              <w:rPr>
                <w:rFonts w:ascii="仿宋_GB2312" w:eastAsia="仿宋_GB2312" w:cs="Times New Roman" w:hint="eastAsia"/>
              </w:rPr>
              <w:t>。</w:t>
            </w:r>
          </w:p>
          <w:p w:rsidR="002A687E" w:rsidRPr="000C024D" w:rsidRDefault="002A687E"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4．确认的送达地址适用于一审、二审、再审</w:t>
            </w:r>
            <w:r w:rsidR="00D161A3" w:rsidRPr="00D161A3">
              <w:rPr>
                <w:rFonts w:ascii="仿宋_GB2312" w:eastAsia="仿宋_GB2312" w:cs="Times New Roman" w:hint="eastAsia"/>
              </w:rPr>
              <w:t>（含申诉、申请再审）</w:t>
            </w:r>
            <w:r w:rsidRPr="000C024D">
              <w:rPr>
                <w:rFonts w:ascii="仿宋_GB2312" w:eastAsia="仿宋_GB2312" w:cs="Times New Roman" w:hint="eastAsia"/>
              </w:rPr>
              <w:t>、执行程序。如果送达地址有变更，应当及时书面告知人民法院变更后的送达地址。</w:t>
            </w:r>
          </w:p>
          <w:p w:rsidR="002A687E" w:rsidRPr="000C024D" w:rsidRDefault="002A687E" w:rsidP="00720EC6">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5．有关送达的法律规定，见本确认书后页。</w:t>
            </w:r>
            <w:r w:rsidRPr="000C024D">
              <w:rPr>
                <w:rFonts w:ascii="仿宋_GB2312" w:eastAsia="仿宋_GB2312" w:cs="Times New Roman" w:hint="eastAsia"/>
              </w:rPr>
              <w:t> </w:t>
            </w:r>
          </w:p>
        </w:tc>
      </w:tr>
      <w:tr w:rsidR="00417879" w:rsidRPr="000C024D" w:rsidTr="00417879">
        <w:trPr>
          <w:trHeight w:val="433"/>
        </w:trPr>
        <w:tc>
          <w:tcPr>
            <w:tcW w:w="968" w:type="dxa"/>
            <w:vMerge w:val="restart"/>
            <w:tcBorders>
              <w:top w:val="nil"/>
              <w:left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送达</w:t>
            </w:r>
          </w:p>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地址</w:t>
            </w:r>
          </w:p>
          <w:p w:rsidR="00417879" w:rsidRPr="000C024D" w:rsidRDefault="00417879" w:rsidP="001052B3">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及方式</w:t>
            </w:r>
          </w:p>
        </w:tc>
        <w:tc>
          <w:tcPr>
            <w:tcW w:w="2143"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417879">
            <w:pPr>
              <w:pStyle w:val="a3"/>
              <w:widowControl/>
              <w:spacing w:before="0" w:beforeAutospacing="0" w:after="0" w:afterAutospacing="0" w:line="400" w:lineRule="exact"/>
              <w:jc w:val="center"/>
              <w:rPr>
                <w:rFonts w:ascii="仿宋_GB2312" w:eastAsia="仿宋_GB2312" w:cs="Times New Roman"/>
              </w:rPr>
            </w:pPr>
            <w:r>
              <w:rPr>
                <w:rFonts w:ascii="仿宋_GB2312" w:eastAsia="仿宋_GB2312" w:cs="Times New Roman" w:hint="eastAsia"/>
              </w:rPr>
              <w:t>当事人</w:t>
            </w:r>
          </w:p>
        </w:tc>
        <w:tc>
          <w:tcPr>
            <w:tcW w:w="6807" w:type="dxa"/>
            <w:gridSpan w:val="5"/>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720EC6" w:rsidP="00417879">
            <w:pPr>
              <w:pStyle w:val="a3"/>
              <w:widowControl/>
              <w:spacing w:before="0" w:beforeAutospacing="0" w:after="0" w:afterAutospacing="0" w:line="400" w:lineRule="exact"/>
              <w:jc w:val="center"/>
              <w:rPr>
                <w:rFonts w:ascii="仿宋_GB2312" w:eastAsia="仿宋_GB2312" w:cs="Times New Roman"/>
              </w:rPr>
            </w:pPr>
            <w:bookmarkStart w:id="2" w:name="@当事人姓名@"/>
            <w:r w:rsidRPr="000C024D">
              <w:rPr>
                <w:rFonts w:ascii="仿宋_GB2312" w:eastAsia="仿宋_GB2312" w:cs="Times New Roman" w:hint="eastAsia"/>
                <w:color w:val="000000"/>
              </w:rPr>
              <w:t>【</w:t>
            </w:r>
            <w:bookmarkEnd w:id="2"/>
            <w:r w:rsidRPr="000C024D">
              <w:rPr>
                <w:rFonts w:ascii="仿宋_GB2312" w:eastAsia="仿宋_GB2312" w:cs="Times New Roman" w:hint="eastAsia"/>
                <w:color w:val="0000FF"/>
              </w:rPr>
              <w:t>当事人姓名</w:t>
            </w:r>
            <w:r w:rsidRPr="000C024D">
              <w:rPr>
                <w:rFonts w:ascii="仿宋_GB2312" w:eastAsia="仿宋_GB2312" w:cs="Times New Roman" w:hint="eastAsia"/>
                <w:color w:val="000000"/>
              </w:rPr>
              <w:t>】</w:t>
            </w:r>
          </w:p>
        </w:tc>
      </w:tr>
      <w:tr w:rsidR="00417879" w:rsidRPr="000C024D" w:rsidTr="009134FD">
        <w:tc>
          <w:tcPr>
            <w:tcW w:w="968" w:type="dxa"/>
            <w:vMerge/>
            <w:tcBorders>
              <w:left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p>
        </w:tc>
        <w:tc>
          <w:tcPr>
            <w:tcW w:w="2143"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指定签收人</w:t>
            </w:r>
            <w:r w:rsidRPr="000C024D">
              <w:rPr>
                <w:rFonts w:ascii="仿宋_GB2312" w:eastAsia="仿宋_GB2312" w:cs="Times New Roman" w:hint="eastAsia"/>
              </w:rPr>
              <w:t> </w:t>
            </w:r>
          </w:p>
        </w:tc>
        <w:tc>
          <w:tcPr>
            <w:tcW w:w="6807" w:type="dxa"/>
            <w:gridSpan w:val="5"/>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720EC6">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 </w:t>
            </w:r>
          </w:p>
        </w:tc>
      </w:tr>
      <w:tr w:rsidR="00417879" w:rsidRPr="000C024D" w:rsidTr="009134FD">
        <w:tc>
          <w:tcPr>
            <w:tcW w:w="968" w:type="dxa"/>
            <w:vMerge/>
            <w:tcBorders>
              <w:left w:val="single" w:sz="6" w:space="0" w:color="000000"/>
              <w:right w:val="single" w:sz="6" w:space="0" w:color="000000"/>
            </w:tcBorders>
            <w:vAlign w:val="center"/>
            <w:hideMark/>
          </w:tcPr>
          <w:p w:rsidR="00417879" w:rsidRPr="000C024D" w:rsidRDefault="00417879" w:rsidP="000C024D">
            <w:pPr>
              <w:widowControl/>
              <w:spacing w:line="400" w:lineRule="exact"/>
              <w:jc w:val="left"/>
              <w:rPr>
                <w:rFonts w:ascii="仿宋_GB2312" w:eastAsia="仿宋_GB2312" w:cs="Times New Roman"/>
                <w:kern w:val="0"/>
                <w:sz w:val="24"/>
                <w:szCs w:val="24"/>
              </w:rPr>
            </w:pPr>
          </w:p>
        </w:tc>
        <w:tc>
          <w:tcPr>
            <w:tcW w:w="2143"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证件类型</w:t>
            </w:r>
          </w:p>
        </w:tc>
        <w:tc>
          <w:tcPr>
            <w:tcW w:w="1661"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 </w:t>
            </w:r>
          </w:p>
        </w:tc>
        <w:tc>
          <w:tcPr>
            <w:tcW w:w="1917" w:type="dxa"/>
            <w:gridSpan w:val="2"/>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证件号码</w:t>
            </w:r>
          </w:p>
        </w:tc>
        <w:tc>
          <w:tcPr>
            <w:tcW w:w="3229" w:type="dxa"/>
            <w:gridSpan w:val="2"/>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720EC6">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 </w:t>
            </w:r>
          </w:p>
        </w:tc>
      </w:tr>
      <w:tr w:rsidR="00417879" w:rsidRPr="000C024D" w:rsidTr="009134FD">
        <w:tc>
          <w:tcPr>
            <w:tcW w:w="968" w:type="dxa"/>
            <w:vMerge/>
            <w:tcBorders>
              <w:left w:val="single" w:sz="6" w:space="0" w:color="000000"/>
              <w:right w:val="single" w:sz="6" w:space="0" w:color="000000"/>
            </w:tcBorders>
            <w:vAlign w:val="center"/>
            <w:hideMark/>
          </w:tcPr>
          <w:p w:rsidR="00417879" w:rsidRPr="000C024D" w:rsidRDefault="00417879" w:rsidP="000C024D">
            <w:pPr>
              <w:widowControl/>
              <w:spacing w:line="400" w:lineRule="exact"/>
              <w:jc w:val="left"/>
              <w:rPr>
                <w:rFonts w:ascii="仿宋_GB2312" w:eastAsia="仿宋_GB2312" w:cs="Times New Roman"/>
                <w:kern w:val="0"/>
                <w:sz w:val="24"/>
                <w:szCs w:val="24"/>
              </w:rPr>
            </w:pPr>
          </w:p>
        </w:tc>
        <w:tc>
          <w:tcPr>
            <w:tcW w:w="2143"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确认送达地址</w:t>
            </w:r>
          </w:p>
        </w:tc>
        <w:tc>
          <w:tcPr>
            <w:tcW w:w="6807" w:type="dxa"/>
            <w:gridSpan w:val="5"/>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spacing w:line="400" w:lineRule="exact"/>
              <w:rPr>
                <w:rFonts w:ascii="仿宋_GB2312" w:eastAsia="仿宋_GB2312"/>
                <w:sz w:val="24"/>
                <w:szCs w:val="24"/>
              </w:rPr>
            </w:pPr>
          </w:p>
        </w:tc>
      </w:tr>
      <w:tr w:rsidR="00417879" w:rsidRPr="000C024D" w:rsidTr="009134FD">
        <w:tc>
          <w:tcPr>
            <w:tcW w:w="968" w:type="dxa"/>
            <w:vMerge/>
            <w:tcBorders>
              <w:left w:val="single" w:sz="6" w:space="0" w:color="000000"/>
              <w:right w:val="single" w:sz="6" w:space="0" w:color="000000"/>
            </w:tcBorders>
            <w:vAlign w:val="center"/>
            <w:hideMark/>
          </w:tcPr>
          <w:p w:rsidR="00417879" w:rsidRPr="000C024D" w:rsidRDefault="00417879" w:rsidP="000C024D">
            <w:pPr>
              <w:widowControl/>
              <w:spacing w:line="400" w:lineRule="exact"/>
              <w:jc w:val="left"/>
              <w:rPr>
                <w:rFonts w:ascii="仿宋_GB2312" w:eastAsia="仿宋_GB2312" w:cs="Times New Roman"/>
                <w:kern w:val="0"/>
                <w:sz w:val="24"/>
                <w:szCs w:val="24"/>
              </w:rPr>
            </w:pPr>
          </w:p>
        </w:tc>
        <w:tc>
          <w:tcPr>
            <w:tcW w:w="2143"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是否接受</w:t>
            </w:r>
          </w:p>
          <w:p w:rsidR="00417879" w:rsidRPr="000C024D" w:rsidRDefault="00417879" w:rsidP="00720EC6">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电子送达</w:t>
            </w:r>
          </w:p>
        </w:tc>
        <w:tc>
          <w:tcPr>
            <w:tcW w:w="6807" w:type="dxa"/>
            <w:gridSpan w:val="5"/>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□是</w:t>
            </w:r>
            <w:r w:rsidR="00BB1EC4">
              <w:rPr>
                <w:rFonts w:ascii="仿宋_GB2312" w:eastAsia="仿宋_GB2312" w:cs="Times New Roman" w:hint="eastAsia"/>
              </w:rPr>
              <w:t xml:space="preserve">  </w:t>
            </w:r>
            <w:r w:rsidRPr="000C024D">
              <w:rPr>
                <w:rFonts w:ascii="仿宋_GB2312" w:eastAsia="仿宋_GB2312" w:cs="Times New Roman" w:hint="eastAsia"/>
              </w:rPr>
              <w:t xml:space="preserve">　□</w:t>
            </w:r>
            <w:proofErr w:type="gramStart"/>
            <w:r w:rsidRPr="000C024D">
              <w:rPr>
                <w:rFonts w:ascii="仿宋_GB2312" w:eastAsia="仿宋_GB2312" w:cs="Times New Roman" w:hint="eastAsia"/>
              </w:rPr>
              <w:t>否</w:t>
            </w:r>
            <w:proofErr w:type="gramEnd"/>
          </w:p>
          <w:p w:rsidR="00417879" w:rsidRPr="000C024D" w:rsidRDefault="00417879"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□手机号码：</w:t>
            </w:r>
          </w:p>
          <w:p w:rsidR="00417879" w:rsidRPr="000C024D" w:rsidRDefault="00417879"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□传真号码：</w:t>
            </w:r>
          </w:p>
          <w:p w:rsidR="00417879" w:rsidRPr="000C024D" w:rsidRDefault="00417879"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□电子邮件地址：</w:t>
            </w:r>
          </w:p>
        </w:tc>
      </w:tr>
      <w:tr w:rsidR="00417879" w:rsidRPr="000C024D" w:rsidTr="009134FD">
        <w:tc>
          <w:tcPr>
            <w:tcW w:w="968" w:type="dxa"/>
            <w:vMerge/>
            <w:tcBorders>
              <w:left w:val="single" w:sz="6" w:space="0" w:color="000000"/>
              <w:right w:val="single" w:sz="6" w:space="0" w:color="000000"/>
            </w:tcBorders>
            <w:vAlign w:val="center"/>
            <w:hideMark/>
          </w:tcPr>
          <w:p w:rsidR="00417879" w:rsidRPr="000C024D" w:rsidRDefault="00417879" w:rsidP="000C024D">
            <w:pPr>
              <w:widowControl/>
              <w:spacing w:line="400" w:lineRule="exact"/>
              <w:jc w:val="left"/>
              <w:rPr>
                <w:rFonts w:ascii="仿宋_GB2312" w:eastAsia="仿宋_GB2312" w:cs="Times New Roman"/>
                <w:kern w:val="0"/>
                <w:sz w:val="24"/>
                <w:szCs w:val="24"/>
              </w:rPr>
            </w:pPr>
          </w:p>
        </w:tc>
        <w:tc>
          <w:tcPr>
            <w:tcW w:w="2143"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手机号码</w:t>
            </w:r>
          </w:p>
        </w:tc>
        <w:tc>
          <w:tcPr>
            <w:tcW w:w="2832" w:type="dxa"/>
            <w:gridSpan w:val="2"/>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720EC6">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 </w:t>
            </w:r>
          </w:p>
        </w:tc>
        <w:tc>
          <w:tcPr>
            <w:tcW w:w="1281" w:type="dxa"/>
            <w:gridSpan w:val="2"/>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邮编</w:t>
            </w:r>
          </w:p>
        </w:tc>
        <w:tc>
          <w:tcPr>
            <w:tcW w:w="2694"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 </w:t>
            </w:r>
          </w:p>
        </w:tc>
      </w:tr>
      <w:tr w:rsidR="00417879" w:rsidRPr="000C024D" w:rsidTr="009134FD">
        <w:tc>
          <w:tcPr>
            <w:tcW w:w="968" w:type="dxa"/>
            <w:vMerge/>
            <w:tcBorders>
              <w:left w:val="single" w:sz="6" w:space="0" w:color="000000"/>
              <w:bottom w:val="single" w:sz="6" w:space="0" w:color="000000"/>
              <w:right w:val="single" w:sz="6" w:space="0" w:color="000000"/>
            </w:tcBorders>
            <w:vAlign w:val="center"/>
            <w:hideMark/>
          </w:tcPr>
          <w:p w:rsidR="00417879" w:rsidRPr="000C024D" w:rsidRDefault="00417879" w:rsidP="000C024D">
            <w:pPr>
              <w:widowControl/>
              <w:spacing w:line="400" w:lineRule="exact"/>
              <w:jc w:val="left"/>
              <w:rPr>
                <w:rFonts w:ascii="仿宋_GB2312" w:eastAsia="仿宋_GB2312" w:cs="Times New Roman"/>
                <w:kern w:val="0"/>
                <w:sz w:val="24"/>
                <w:szCs w:val="24"/>
              </w:rPr>
            </w:pPr>
          </w:p>
        </w:tc>
        <w:tc>
          <w:tcPr>
            <w:tcW w:w="2143" w:type="dxa"/>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417879" w:rsidRPr="000C024D" w:rsidRDefault="00417879"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其他联系方式</w:t>
            </w:r>
          </w:p>
        </w:tc>
        <w:tc>
          <w:tcPr>
            <w:tcW w:w="6807" w:type="dxa"/>
            <w:gridSpan w:val="5"/>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tcPr>
          <w:p w:rsidR="00417879" w:rsidRPr="000C024D" w:rsidRDefault="00417879" w:rsidP="000C024D">
            <w:pPr>
              <w:spacing w:line="400" w:lineRule="exact"/>
              <w:rPr>
                <w:rFonts w:ascii="仿宋_GB2312" w:eastAsia="仿宋_GB2312"/>
                <w:sz w:val="24"/>
                <w:szCs w:val="24"/>
              </w:rPr>
            </w:pPr>
          </w:p>
        </w:tc>
      </w:tr>
      <w:tr w:rsidR="002A687E" w:rsidRPr="000C024D" w:rsidTr="000C024D">
        <w:trPr>
          <w:trHeight w:val="2745"/>
        </w:trPr>
        <w:tc>
          <w:tcPr>
            <w:tcW w:w="9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受送</w:t>
            </w:r>
          </w:p>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达人</w:t>
            </w:r>
          </w:p>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确认</w:t>
            </w:r>
          </w:p>
        </w:tc>
        <w:tc>
          <w:tcPr>
            <w:tcW w:w="8950" w:type="dxa"/>
            <w:gridSpan w:val="6"/>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rPr>
                <w:rFonts w:ascii="仿宋_GB2312" w:eastAsia="仿宋_GB2312" w:cs="Times New Roman"/>
              </w:rPr>
            </w:pPr>
            <w:r w:rsidRPr="000C024D">
              <w:rPr>
                <w:rFonts w:ascii="仿宋_GB2312" w:eastAsia="仿宋_GB2312" w:cs="Times New Roman" w:hint="eastAsia"/>
              </w:rPr>
              <w:t xml:space="preserve">　　我已阅读(听明白)本确认书的告知事项，提供了上栏送达地址，确认了上栏送达方式，并保证所提供的送达地址各项内容是正确的、有效的。如在诉讼过程中送达地址发生变化，</w:t>
            </w:r>
            <w:r w:rsidR="008A483C" w:rsidRPr="008A483C">
              <w:rPr>
                <w:rFonts w:ascii="仿宋_GB2312" w:eastAsia="仿宋_GB2312" w:cs="Times New Roman" w:hint="eastAsia"/>
              </w:rPr>
              <w:t>保证及时以书面方式告知法院</w:t>
            </w:r>
            <w:r w:rsidRPr="000C024D">
              <w:rPr>
                <w:rFonts w:ascii="仿宋_GB2312" w:eastAsia="仿宋_GB2312" w:cs="Times New Roman" w:hint="eastAsia"/>
              </w:rPr>
              <w:t>。</w:t>
            </w:r>
          </w:p>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  </w:t>
            </w:r>
          </w:p>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 </w:t>
            </w:r>
            <w:r w:rsidRPr="000C024D">
              <w:rPr>
                <w:rFonts w:ascii="仿宋_GB2312" w:eastAsia="仿宋_GB2312" w:cs="Times New Roman" w:hint="eastAsia"/>
              </w:rPr>
              <w:t xml:space="preserve"> </w:t>
            </w:r>
            <w:r w:rsidRPr="000C024D">
              <w:rPr>
                <w:rFonts w:ascii="仿宋_GB2312" w:eastAsia="仿宋_GB2312" w:cs="Times New Roman" w:hint="eastAsia"/>
              </w:rPr>
              <w:t>                            </w:t>
            </w:r>
            <w:r w:rsidRPr="000C024D">
              <w:rPr>
                <w:rFonts w:ascii="仿宋_GB2312" w:eastAsia="仿宋_GB2312" w:cs="Times New Roman" w:hint="eastAsia"/>
              </w:rPr>
              <w:t>受送达人(签名或者盖章)</w:t>
            </w:r>
          </w:p>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                                           </w:t>
            </w:r>
            <w:r w:rsidRPr="000C024D">
              <w:rPr>
                <w:rFonts w:ascii="仿宋_GB2312" w:eastAsia="仿宋_GB2312" w:cs="Times New Roman" w:hint="eastAsia"/>
              </w:rPr>
              <w:t>年　月　日</w:t>
            </w:r>
          </w:p>
        </w:tc>
      </w:tr>
      <w:tr w:rsidR="002A687E" w:rsidRPr="000C024D" w:rsidTr="000C024D">
        <w:trPr>
          <w:trHeight w:val="1"/>
        </w:trPr>
        <w:tc>
          <w:tcPr>
            <w:tcW w:w="96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备注</w:t>
            </w:r>
          </w:p>
        </w:tc>
        <w:tc>
          <w:tcPr>
            <w:tcW w:w="8950" w:type="dxa"/>
            <w:gridSpan w:val="6"/>
            <w:tcBorders>
              <w:top w:val="single" w:sz="6" w:space="0" w:color="000000"/>
              <w:left w:val="nil"/>
              <w:bottom w:val="single" w:sz="6" w:space="0" w:color="000000"/>
              <w:right w:val="single" w:sz="6" w:space="0" w:color="000000"/>
            </w:tcBorders>
            <w:tcMar>
              <w:top w:w="75" w:type="dxa"/>
              <w:left w:w="75" w:type="dxa"/>
              <w:bottom w:w="75" w:type="dxa"/>
              <w:right w:w="75" w:type="dxa"/>
            </w:tcMar>
            <w:vAlign w:val="center"/>
            <w:hideMark/>
          </w:tcPr>
          <w:p w:rsidR="002A687E" w:rsidRPr="000C024D" w:rsidRDefault="002A687E" w:rsidP="000C024D">
            <w:pPr>
              <w:pStyle w:val="a3"/>
              <w:widowControl/>
              <w:spacing w:before="0" w:beforeAutospacing="0" w:after="0" w:afterAutospacing="0" w:line="400" w:lineRule="exact"/>
              <w:jc w:val="center"/>
              <w:rPr>
                <w:rFonts w:ascii="仿宋_GB2312" w:eastAsia="仿宋_GB2312" w:cs="Times New Roman"/>
              </w:rPr>
            </w:pPr>
            <w:r w:rsidRPr="000C024D">
              <w:rPr>
                <w:rFonts w:ascii="仿宋_GB2312" w:eastAsia="仿宋_GB2312" w:cs="Times New Roman" w:hint="eastAsia"/>
              </w:rPr>
              <w:t> </w:t>
            </w:r>
          </w:p>
        </w:tc>
      </w:tr>
    </w:tbl>
    <w:p w:rsidR="000C024D" w:rsidRPr="001052B3" w:rsidRDefault="000C024D" w:rsidP="008F3A14">
      <w:pPr>
        <w:spacing w:line="580" w:lineRule="exact"/>
        <w:jc w:val="center"/>
        <w:rPr>
          <w:rFonts w:ascii="仿宋_GB2312" w:eastAsia="仿宋_GB2312" w:hAnsi="仿宋" w:hint="eastAsia"/>
          <w:b/>
          <w:sz w:val="44"/>
          <w:szCs w:val="44"/>
        </w:rPr>
      </w:pPr>
      <w:r w:rsidRPr="001052B3">
        <w:rPr>
          <w:rFonts w:ascii="仿宋_GB2312" w:eastAsia="仿宋_GB2312" w:hAnsi="仿宋" w:hint="eastAsia"/>
          <w:b/>
          <w:sz w:val="44"/>
          <w:szCs w:val="44"/>
        </w:rPr>
        <w:t>广东省江门市蓬江区人民法院</w:t>
      </w:r>
    </w:p>
    <w:p w:rsidR="000C024D" w:rsidRPr="00C64E7A" w:rsidRDefault="000C024D" w:rsidP="008F3A14">
      <w:pPr>
        <w:spacing w:line="580" w:lineRule="exact"/>
        <w:jc w:val="center"/>
        <w:rPr>
          <w:rFonts w:ascii="仿宋" w:eastAsia="仿宋" w:hAnsi="仿宋"/>
          <w:b/>
          <w:sz w:val="44"/>
          <w:szCs w:val="44"/>
        </w:rPr>
      </w:pPr>
      <w:r w:rsidRPr="001052B3">
        <w:rPr>
          <w:rFonts w:ascii="仿宋_GB2312" w:eastAsia="仿宋_GB2312" w:hAnsi="仿宋" w:hint="eastAsia"/>
          <w:b/>
          <w:sz w:val="44"/>
          <w:szCs w:val="44"/>
        </w:rPr>
        <w:t>诉讼文书送达地址确认书</w:t>
      </w:r>
    </w:p>
    <w:p w:rsidR="00417879" w:rsidRPr="00417879" w:rsidRDefault="00417879" w:rsidP="00417879">
      <w:pPr>
        <w:spacing w:line="300" w:lineRule="exact"/>
        <w:jc w:val="center"/>
        <w:rPr>
          <w:rFonts w:ascii="仿宋_GB2312" w:eastAsia="仿宋_GB2312"/>
          <w:b/>
          <w:sz w:val="28"/>
          <w:szCs w:val="28"/>
        </w:rPr>
      </w:pPr>
    </w:p>
    <w:p w:rsidR="000C024D" w:rsidRPr="007C03D9" w:rsidRDefault="000C024D" w:rsidP="001052B3">
      <w:pPr>
        <w:pStyle w:val="a3"/>
        <w:widowControl/>
        <w:spacing w:before="0" w:beforeAutospacing="0" w:afterLines="100" w:afterAutospacing="0" w:line="440" w:lineRule="exact"/>
        <w:jc w:val="center"/>
        <w:rPr>
          <w:rFonts w:ascii="仿宋_GB2312" w:eastAsia="仿宋_GB2312" w:hAnsi="宋体"/>
          <w:b/>
          <w:bCs/>
          <w:color w:val="2F2F2F"/>
          <w:sz w:val="32"/>
          <w:szCs w:val="30"/>
          <w:shd w:val="clear" w:color="auto" w:fill="FFFFFF"/>
        </w:rPr>
      </w:pPr>
      <w:r w:rsidRPr="007C03D9">
        <w:rPr>
          <w:rFonts w:ascii="仿宋_GB2312" w:eastAsia="仿宋_GB2312" w:hAnsi="宋体" w:hint="eastAsia"/>
          <w:b/>
          <w:bCs/>
          <w:color w:val="2F2F2F"/>
          <w:sz w:val="32"/>
          <w:szCs w:val="30"/>
          <w:shd w:val="clear" w:color="auto" w:fill="FFFFFF"/>
        </w:rPr>
        <w:lastRenderedPageBreak/>
        <w:t>送达</w:t>
      </w:r>
      <w:r w:rsidR="00F20F00" w:rsidRPr="007C03D9">
        <w:rPr>
          <w:rFonts w:ascii="仿宋_GB2312" w:eastAsia="仿宋_GB2312" w:hAnsi="宋体" w:hint="eastAsia"/>
          <w:b/>
          <w:bCs/>
          <w:color w:val="2F2F2F"/>
          <w:sz w:val="32"/>
          <w:szCs w:val="30"/>
          <w:shd w:val="clear" w:color="auto" w:fill="FFFFFF"/>
        </w:rPr>
        <w:t>相关法律规定（摘录）</w:t>
      </w:r>
    </w:p>
    <w:p w:rsidR="00F20F00" w:rsidRPr="007C03D9" w:rsidRDefault="00F20F00" w:rsidP="007C03D9">
      <w:pPr>
        <w:pStyle w:val="a3"/>
        <w:widowControl/>
        <w:spacing w:before="0" w:beforeAutospacing="0" w:after="0" w:afterAutospacing="0" w:line="420" w:lineRule="exact"/>
        <w:ind w:firstLineChars="200" w:firstLine="562"/>
        <w:rPr>
          <w:rFonts w:ascii="仿宋_GB2312" w:eastAsia="仿宋_GB2312"/>
          <w:b/>
          <w:color w:val="2F2F2F"/>
          <w:sz w:val="28"/>
          <w:szCs w:val="28"/>
          <w:shd w:val="clear" w:color="auto" w:fill="FFFFFF"/>
        </w:rPr>
      </w:pPr>
      <w:r w:rsidRPr="007C03D9">
        <w:rPr>
          <w:rFonts w:ascii="仿宋_GB2312" w:eastAsia="仿宋_GB2312" w:hint="eastAsia"/>
          <w:b/>
          <w:color w:val="2F2F2F"/>
          <w:sz w:val="28"/>
          <w:szCs w:val="28"/>
          <w:shd w:val="clear" w:color="auto" w:fill="FFFFFF"/>
        </w:rPr>
        <w:t>《中华人民共和国民事诉讼法》</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第九十条　经受送达人同意，人民法院可以采用能够确认其收悉的电子方式送达诉讼文书。通过电子方式送达的判决书、裁定书、调解书，受送达人提出需要纸质文书的，人民法院应当提供。</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采用前款方式送达的，以送达信息到达受送达人特定系统的日期为送达日期。</w:t>
      </w:r>
    </w:p>
    <w:p w:rsidR="00F20F00" w:rsidRPr="007C03D9" w:rsidRDefault="00F20F00" w:rsidP="007C03D9">
      <w:pPr>
        <w:pStyle w:val="a3"/>
        <w:widowControl/>
        <w:spacing w:before="0" w:beforeAutospacing="0" w:after="0" w:afterAutospacing="0" w:line="420" w:lineRule="exact"/>
        <w:ind w:firstLineChars="200" w:firstLine="562"/>
        <w:rPr>
          <w:rFonts w:ascii="仿宋_GB2312" w:eastAsia="仿宋_GB2312"/>
          <w:b/>
          <w:color w:val="2F2F2F"/>
          <w:sz w:val="28"/>
          <w:szCs w:val="28"/>
          <w:shd w:val="clear" w:color="auto" w:fill="FFFFFF"/>
        </w:rPr>
      </w:pPr>
      <w:r w:rsidRPr="007C03D9">
        <w:rPr>
          <w:rFonts w:ascii="仿宋_GB2312" w:eastAsia="仿宋_GB2312" w:hint="eastAsia"/>
          <w:b/>
          <w:color w:val="2F2F2F"/>
          <w:sz w:val="28"/>
          <w:szCs w:val="28"/>
          <w:shd w:val="clear" w:color="auto" w:fill="FFFFFF"/>
        </w:rPr>
        <w:t>最高人民法院《关于以法院专递方式邮寄送达民事诉讼文书的若干规定》</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 xml:space="preserve">第二条  以法院专递方式邮寄送达民事诉讼文书的，其送达与人民法院送达具有同等法律效力。 </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第三条  当事人起诉或者答辩时应当向人民法院提供或者确认自己准确的送达地址，并填写送达地址确认书。当事人拒绝提供的，人民法院应当告知其拒不提供送达地址的不利后果，并记入笔录。</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第十一条  因受送达人自己提供或者确认的送达地址不准确、拒不提供送达地址、送达地址变更未及时告知人民法院、受送达人本人或者受送达人指定的代收人拒绝签收，导致诉讼文书未能被受送达人实际接收的，文书退回之日视为送达之日。</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受送达人能够证明自己在诉讼文书送达的过程中没有过错的，不适用前款规定。</w:t>
      </w:r>
    </w:p>
    <w:p w:rsidR="00F20F00" w:rsidRPr="007C03D9" w:rsidRDefault="00F20F00" w:rsidP="007C03D9">
      <w:pPr>
        <w:pStyle w:val="a3"/>
        <w:widowControl/>
        <w:spacing w:before="0" w:beforeAutospacing="0" w:after="0" w:afterAutospacing="0" w:line="420" w:lineRule="exact"/>
        <w:ind w:firstLineChars="200" w:firstLine="562"/>
        <w:rPr>
          <w:rFonts w:ascii="仿宋_GB2312" w:eastAsia="仿宋_GB2312"/>
          <w:b/>
          <w:color w:val="2F2F2F"/>
          <w:sz w:val="28"/>
          <w:szCs w:val="28"/>
          <w:shd w:val="clear" w:color="auto" w:fill="FFFFFF"/>
        </w:rPr>
      </w:pPr>
      <w:r w:rsidRPr="007C03D9">
        <w:rPr>
          <w:rFonts w:ascii="仿宋_GB2312" w:eastAsia="仿宋_GB2312" w:hint="eastAsia"/>
          <w:b/>
          <w:color w:val="2F2F2F"/>
          <w:sz w:val="28"/>
          <w:szCs w:val="28"/>
          <w:shd w:val="clear" w:color="auto" w:fill="FFFFFF"/>
        </w:rPr>
        <w:t>最高人民法院《关于进一步加强民事送达工作的若干意见》</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八、当事人拒绝确认送达地址或以拒绝应诉、拒接电话、避而不见送达人员、搬离原住所等躲避、规避送达，人民法院不能或无法要求其确认送达地址的，可以分别以下列情形处理：</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（一）当事人在诉讼所涉及的合同、往来函件中对送达地址有明确约定的，以约定的地址为送达地址；</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（二）没有约定的，以当事人在诉讼中提交的书面材料中载明的自己的地址为送达地址；</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（三）没有约定、当事人也未提交书面材料或者书面材料中未载明地址的，以一年内进行其他诉讼、仲裁案件中提供的地址为送达地址；</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（四）无以上情形的，以当事人一年内进行民事活动时经常使用的地址为送达地址。</w:t>
      </w:r>
    </w:p>
    <w:p w:rsidR="00F20F00" w:rsidRPr="007C03D9" w:rsidRDefault="00F20F00" w:rsidP="007C03D9">
      <w:pPr>
        <w:pStyle w:val="a3"/>
        <w:widowControl/>
        <w:spacing w:before="0" w:beforeAutospacing="0" w:after="0" w:afterAutospacing="0" w:line="420" w:lineRule="exact"/>
        <w:ind w:firstLineChars="200" w:firstLine="560"/>
        <w:rPr>
          <w:rFonts w:ascii="仿宋_GB2312" w:eastAsia="仿宋_GB2312"/>
          <w:color w:val="2F2F2F"/>
          <w:sz w:val="28"/>
          <w:szCs w:val="28"/>
          <w:shd w:val="clear" w:color="auto" w:fill="FFFFFF"/>
        </w:rPr>
      </w:pPr>
      <w:r w:rsidRPr="007C03D9">
        <w:rPr>
          <w:rFonts w:ascii="仿宋_GB2312" w:eastAsia="仿宋_GB2312" w:hint="eastAsia"/>
          <w:color w:val="2F2F2F"/>
          <w:sz w:val="28"/>
          <w:szCs w:val="28"/>
          <w:shd w:val="clear" w:color="auto" w:fill="FFFFFF"/>
        </w:rPr>
        <w:t>人民法院按照上述地址进行送达的，可以同时以电话、</w:t>
      </w:r>
      <w:proofErr w:type="gramStart"/>
      <w:r w:rsidRPr="007C03D9">
        <w:rPr>
          <w:rFonts w:ascii="仿宋_GB2312" w:eastAsia="仿宋_GB2312" w:hint="eastAsia"/>
          <w:color w:val="2F2F2F"/>
          <w:sz w:val="28"/>
          <w:szCs w:val="28"/>
          <w:shd w:val="clear" w:color="auto" w:fill="FFFFFF"/>
        </w:rPr>
        <w:t>微信等</w:t>
      </w:r>
      <w:proofErr w:type="gramEnd"/>
      <w:r w:rsidRPr="007C03D9">
        <w:rPr>
          <w:rFonts w:ascii="仿宋_GB2312" w:eastAsia="仿宋_GB2312" w:hint="eastAsia"/>
          <w:color w:val="2F2F2F"/>
          <w:sz w:val="28"/>
          <w:szCs w:val="28"/>
          <w:shd w:val="clear" w:color="auto" w:fill="FFFFFF"/>
        </w:rPr>
        <w:t>方式通知受送达人。</w:t>
      </w:r>
    </w:p>
    <w:p w:rsidR="000C024D" w:rsidRPr="007C03D9" w:rsidRDefault="00F20F00" w:rsidP="007C03D9">
      <w:pPr>
        <w:pStyle w:val="a3"/>
        <w:widowControl/>
        <w:spacing w:before="0" w:beforeAutospacing="0" w:after="0" w:afterAutospacing="0" w:line="420" w:lineRule="exact"/>
        <w:ind w:firstLineChars="200" w:firstLine="560"/>
        <w:jc w:val="both"/>
        <w:rPr>
          <w:rFonts w:ascii="仿宋_GB2312" w:eastAsia="仿宋_GB2312"/>
          <w:color w:val="2F2F2F"/>
          <w:sz w:val="28"/>
          <w:szCs w:val="28"/>
        </w:rPr>
      </w:pPr>
      <w:r w:rsidRPr="007C03D9">
        <w:rPr>
          <w:rFonts w:ascii="仿宋_GB2312" w:eastAsia="仿宋_GB2312" w:hint="eastAsia"/>
          <w:color w:val="2F2F2F"/>
          <w:sz w:val="28"/>
          <w:szCs w:val="28"/>
          <w:shd w:val="clear" w:color="auto" w:fill="FFFFFF"/>
        </w:rPr>
        <w:t>九、依第八条规定仍不能确认送达地址的，自然人以其户籍登记的住所或者在经常居住地登记的住址为送达地址，法人</w:t>
      </w:r>
      <w:r w:rsidR="007C03D9" w:rsidRPr="007C03D9">
        <w:rPr>
          <w:rFonts w:ascii="仿宋_GB2312" w:eastAsia="仿宋_GB2312" w:hint="eastAsia"/>
          <w:color w:val="2F2F2F"/>
          <w:sz w:val="28"/>
          <w:szCs w:val="28"/>
          <w:shd w:val="clear" w:color="auto" w:fill="FFFFFF"/>
        </w:rPr>
        <w:t>或者其他组织以其工商登记或其他依法登记、备案的住所地为送达地址</w:t>
      </w:r>
      <w:r w:rsidR="000C024D" w:rsidRPr="007C03D9">
        <w:rPr>
          <w:rFonts w:ascii="仿宋_GB2312" w:eastAsia="仿宋_GB2312" w:hint="eastAsia"/>
          <w:color w:val="2F2F2F"/>
          <w:sz w:val="28"/>
          <w:szCs w:val="28"/>
          <w:shd w:val="clear" w:color="auto" w:fill="FFFFFF"/>
        </w:rPr>
        <w:t>。</w:t>
      </w:r>
    </w:p>
    <w:sectPr w:rsidR="000C024D" w:rsidRPr="007C03D9" w:rsidSect="000C024D">
      <w:footerReference w:type="default" r:id="rId6"/>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E6A" w:rsidRDefault="00293E6A" w:rsidP="000C024D">
      <w:r>
        <w:separator/>
      </w:r>
    </w:p>
  </w:endnote>
  <w:endnote w:type="continuationSeparator" w:id="0">
    <w:p w:rsidR="00293E6A" w:rsidRDefault="00293E6A" w:rsidP="000C02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60031"/>
      <w:docPartObj>
        <w:docPartGallery w:val="Page Numbers (Bottom of Page)"/>
        <w:docPartUnique/>
      </w:docPartObj>
    </w:sdtPr>
    <w:sdtContent>
      <w:p w:rsidR="000C024D" w:rsidRDefault="00E909DA">
        <w:pPr>
          <w:pStyle w:val="a5"/>
          <w:jc w:val="center"/>
        </w:pPr>
        <w:fldSimple w:instr=" PAGE   \* MERGEFORMAT ">
          <w:r w:rsidR="001052B3" w:rsidRPr="001052B3">
            <w:rPr>
              <w:noProof/>
              <w:lang w:val="zh-CN"/>
            </w:rPr>
            <w:t>2</w:t>
          </w:r>
        </w:fldSimple>
      </w:p>
    </w:sdtContent>
  </w:sdt>
  <w:p w:rsidR="000C024D" w:rsidRDefault="000C02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E6A" w:rsidRDefault="00293E6A" w:rsidP="000C024D">
      <w:r>
        <w:separator/>
      </w:r>
    </w:p>
  </w:footnote>
  <w:footnote w:type="continuationSeparator" w:id="0">
    <w:p w:rsidR="00293E6A" w:rsidRDefault="00293E6A" w:rsidP="000C02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87E"/>
    <w:rsid w:val="000C024D"/>
    <w:rsid w:val="001052B3"/>
    <w:rsid w:val="001323D5"/>
    <w:rsid w:val="00293E6A"/>
    <w:rsid w:val="002A687E"/>
    <w:rsid w:val="00352E26"/>
    <w:rsid w:val="00417879"/>
    <w:rsid w:val="00497A53"/>
    <w:rsid w:val="006209CD"/>
    <w:rsid w:val="006B41C6"/>
    <w:rsid w:val="006C52BC"/>
    <w:rsid w:val="006C73E4"/>
    <w:rsid w:val="007044C9"/>
    <w:rsid w:val="00720EC6"/>
    <w:rsid w:val="007C03D9"/>
    <w:rsid w:val="0087183B"/>
    <w:rsid w:val="008A483C"/>
    <w:rsid w:val="008F3A14"/>
    <w:rsid w:val="00AC61B3"/>
    <w:rsid w:val="00BB1EC4"/>
    <w:rsid w:val="00C64E7A"/>
    <w:rsid w:val="00D161A3"/>
    <w:rsid w:val="00E12655"/>
    <w:rsid w:val="00E909DA"/>
    <w:rsid w:val="00EA7961"/>
    <w:rsid w:val="00EF1C48"/>
    <w:rsid w:val="00F20F00"/>
    <w:rsid w:val="00F817CB"/>
    <w:rsid w:val="00FD00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87E"/>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687E"/>
    <w:pPr>
      <w:spacing w:before="100" w:beforeAutospacing="1" w:after="100" w:afterAutospacing="1"/>
      <w:jc w:val="left"/>
    </w:pPr>
    <w:rPr>
      <w:kern w:val="0"/>
      <w:sz w:val="24"/>
      <w:szCs w:val="24"/>
    </w:rPr>
  </w:style>
  <w:style w:type="paragraph" w:styleId="a4">
    <w:name w:val="header"/>
    <w:basedOn w:val="a"/>
    <w:link w:val="Char"/>
    <w:uiPriority w:val="99"/>
    <w:semiHidden/>
    <w:unhideWhenUsed/>
    <w:rsid w:val="000C02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C024D"/>
    <w:rPr>
      <w:rFonts w:ascii="Calibri" w:eastAsia="宋体" w:hAnsi="Calibri" w:cs="宋体"/>
      <w:sz w:val="18"/>
      <w:szCs w:val="18"/>
    </w:rPr>
  </w:style>
  <w:style w:type="paragraph" w:styleId="a5">
    <w:name w:val="footer"/>
    <w:basedOn w:val="a"/>
    <w:link w:val="Char0"/>
    <w:uiPriority w:val="99"/>
    <w:unhideWhenUsed/>
    <w:rsid w:val="000C024D"/>
    <w:pPr>
      <w:tabs>
        <w:tab w:val="center" w:pos="4153"/>
        <w:tab w:val="right" w:pos="8306"/>
      </w:tabs>
      <w:snapToGrid w:val="0"/>
      <w:jc w:val="left"/>
    </w:pPr>
    <w:rPr>
      <w:sz w:val="18"/>
      <w:szCs w:val="18"/>
    </w:rPr>
  </w:style>
  <w:style w:type="character" w:customStyle="1" w:styleId="Char0">
    <w:name w:val="页脚 Char"/>
    <w:basedOn w:val="a0"/>
    <w:link w:val="a5"/>
    <w:uiPriority w:val="99"/>
    <w:rsid w:val="000C024D"/>
    <w:rPr>
      <w:rFonts w:ascii="Calibri" w:eastAsia="宋体" w:hAnsi="Calibri" w:cs="宋体"/>
      <w:sz w:val="18"/>
      <w:szCs w:val="18"/>
    </w:rPr>
  </w:style>
</w:styles>
</file>

<file path=word/webSettings.xml><?xml version="1.0" encoding="utf-8"?>
<w:webSettings xmlns:r="http://schemas.openxmlformats.org/officeDocument/2006/relationships" xmlns:w="http://schemas.openxmlformats.org/wordprocessingml/2006/main">
  <w:divs>
    <w:div w:id="731806109">
      <w:bodyDiv w:val="1"/>
      <w:marLeft w:val="0"/>
      <w:marRight w:val="0"/>
      <w:marTop w:val="0"/>
      <w:marBottom w:val="0"/>
      <w:divBdr>
        <w:top w:val="none" w:sz="0" w:space="0" w:color="auto"/>
        <w:left w:val="none" w:sz="0" w:space="0" w:color="auto"/>
        <w:bottom w:val="none" w:sz="0" w:space="0" w:color="auto"/>
        <w:right w:val="none" w:sz="0" w:space="0" w:color="auto"/>
      </w:divBdr>
      <w:divsChild>
        <w:div w:id="958411050">
          <w:marLeft w:val="0"/>
          <w:marRight w:val="0"/>
          <w:marTop w:val="0"/>
          <w:marBottom w:val="0"/>
          <w:divBdr>
            <w:top w:val="none" w:sz="0" w:space="0" w:color="auto"/>
            <w:left w:val="none" w:sz="0" w:space="0" w:color="auto"/>
            <w:bottom w:val="none" w:sz="0" w:space="0" w:color="auto"/>
            <w:right w:val="none" w:sz="0" w:space="0" w:color="auto"/>
          </w:divBdr>
        </w:div>
      </w:divsChild>
    </w:div>
    <w:div w:id="2031301222">
      <w:bodyDiv w:val="1"/>
      <w:marLeft w:val="0"/>
      <w:marRight w:val="0"/>
      <w:marTop w:val="0"/>
      <w:marBottom w:val="0"/>
      <w:divBdr>
        <w:top w:val="none" w:sz="0" w:space="0" w:color="auto"/>
        <w:left w:val="none" w:sz="0" w:space="0" w:color="auto"/>
        <w:bottom w:val="none" w:sz="0" w:space="0" w:color="auto"/>
        <w:right w:val="none" w:sz="0" w:space="0" w:color="auto"/>
      </w:divBdr>
      <w:divsChild>
        <w:div w:id="997732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233</Words>
  <Characters>1331</Characters>
  <Application>Microsoft Office Word</Application>
  <DocSecurity>0</DocSecurity>
  <Lines>11</Lines>
  <Paragraphs>3</Paragraphs>
  <ScaleCrop>false</ScaleCrop>
  <Company>Microsoft</Company>
  <LinksUpToDate>false</LinksUpToDate>
  <CharactersWithSpaces>1561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邝芸榕</dc:creator>
  <cp:lastModifiedBy>邝芸榕</cp:lastModifiedBy>
  <cp:revision>18</cp:revision>
  <dcterms:created xsi:type="dcterms:W3CDTF">2025-11-28T04:21:00Z</dcterms:created>
  <dcterms:modified xsi:type="dcterms:W3CDTF">2025-11-28T09:04:00Z</dcterms:modified>
</cp:coreProperties>
</file>