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40" w:lineRule="atLeast"/>
        <w:jc w:val="center"/>
        <w:rPr>
          <w:rFonts w:ascii="楷体" w:hAnsi="楷体" w:eastAsia="楷体"/>
          <w:b/>
          <w:color w:val="000000"/>
          <w:sz w:val="72"/>
          <w:szCs w:val="72"/>
        </w:rPr>
      </w:pPr>
      <w:r>
        <w:rPr>
          <w:rFonts w:hint="eastAsia" w:ascii="楷体" w:hAnsi="楷体" w:eastAsia="楷体"/>
          <w:b/>
          <w:color w:val="000000"/>
          <w:sz w:val="72"/>
          <w:szCs w:val="72"/>
        </w:rPr>
        <w:t>江门市蓬江区人民法院采购项目</w:t>
      </w:r>
    </w:p>
    <w:p>
      <w:pPr>
        <w:adjustRightInd w:val="0"/>
        <w:spacing w:line="240" w:lineRule="atLeast"/>
        <w:jc w:val="center"/>
        <w:rPr>
          <w:rFonts w:ascii="黑体" w:hAnsi="黑体" w:eastAsia="黑体"/>
          <w:color w:val="000000"/>
          <w:sz w:val="30"/>
          <w:szCs w:val="30"/>
        </w:rPr>
      </w:pPr>
    </w:p>
    <w:p>
      <w:pPr>
        <w:adjustRightInd w:val="0"/>
        <w:spacing w:line="240" w:lineRule="atLeast"/>
        <w:jc w:val="center"/>
        <w:rPr>
          <w:rFonts w:ascii="黑体" w:hAnsi="黑体" w:eastAsia="黑体"/>
          <w:color w:val="000000"/>
          <w:sz w:val="30"/>
          <w:szCs w:val="30"/>
        </w:rPr>
      </w:pPr>
    </w:p>
    <w:p>
      <w:pPr>
        <w:adjustRightInd w:val="0"/>
        <w:spacing w:line="240" w:lineRule="atLeast"/>
        <w:jc w:val="center"/>
        <w:rPr>
          <w:rFonts w:ascii="黑体" w:hAnsi="黑体" w:eastAsia="黑体"/>
          <w:color w:val="000000"/>
          <w:sz w:val="30"/>
          <w:szCs w:val="30"/>
        </w:rPr>
      </w:pP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询</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价</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文</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件</w:t>
      </w:r>
    </w:p>
    <w:p>
      <w:pPr>
        <w:spacing w:line="500" w:lineRule="exact"/>
        <w:ind w:firstLine="2401" w:firstLineChars="1000"/>
        <w:jc w:val="left"/>
        <w:rPr>
          <w:b/>
          <w:bCs/>
          <w:color w:val="000000"/>
          <w:sz w:val="24"/>
        </w:rPr>
      </w:pPr>
    </w:p>
    <w:p>
      <w:pPr>
        <w:spacing w:line="500" w:lineRule="exact"/>
        <w:ind w:firstLine="2401" w:firstLineChars="1000"/>
        <w:jc w:val="left"/>
        <w:rPr>
          <w:b/>
          <w:bCs/>
          <w:color w:val="000000"/>
          <w:sz w:val="24"/>
        </w:rPr>
      </w:pPr>
    </w:p>
    <w:p>
      <w:pPr>
        <w:spacing w:line="500" w:lineRule="exact"/>
        <w:ind w:firstLine="2401" w:firstLineChars="1000"/>
        <w:jc w:val="left"/>
        <w:rPr>
          <w:b/>
          <w:bCs/>
          <w:color w:val="000000"/>
          <w:sz w:val="24"/>
        </w:rPr>
      </w:pPr>
    </w:p>
    <w:p>
      <w:pPr>
        <w:spacing w:line="660" w:lineRule="atLeast"/>
        <w:ind w:firstLine="359" w:firstLineChars="128"/>
        <w:jc w:val="left"/>
        <w:rPr>
          <w:rFonts w:hint="eastAsia" w:ascii="宋体" w:hAnsi="宋体"/>
          <w:b/>
          <w:bCs/>
          <w:color w:val="000000"/>
          <w:sz w:val="28"/>
          <w:szCs w:val="28"/>
          <w:u w:val="single"/>
        </w:rPr>
      </w:pPr>
      <w:r>
        <w:rPr>
          <w:rFonts w:hint="eastAsia" w:ascii="宋体" w:hAnsi="宋体"/>
          <w:b/>
          <w:bCs/>
          <w:color w:val="000000"/>
          <w:sz w:val="28"/>
          <w:szCs w:val="28"/>
        </w:rPr>
        <w:t>采购</w:t>
      </w:r>
      <w:r>
        <w:rPr>
          <w:rFonts w:ascii="宋体" w:hAnsi="宋体"/>
          <w:b/>
          <w:bCs/>
          <w:color w:val="000000"/>
          <w:sz w:val="28"/>
          <w:szCs w:val="28"/>
        </w:rPr>
        <w:t>项目编号：</w:t>
      </w:r>
      <w:r>
        <w:rPr>
          <w:rFonts w:hint="eastAsia" w:ascii="宋体" w:hAnsi="宋体"/>
          <w:b/>
          <w:bCs/>
          <w:color w:val="000000"/>
          <w:sz w:val="28"/>
          <w:szCs w:val="28"/>
          <w:u w:val="single"/>
        </w:rPr>
        <w:t>PJFY-2020060</w:t>
      </w:r>
      <w:r>
        <w:rPr>
          <w:rFonts w:hint="eastAsia" w:ascii="宋体" w:hAnsi="宋体"/>
          <w:b/>
          <w:bCs/>
          <w:color w:val="000000"/>
          <w:sz w:val="28"/>
          <w:szCs w:val="28"/>
          <w:u w:val="single"/>
          <w:lang w:val="en-US" w:eastAsia="zh-CN"/>
        </w:rPr>
        <w:t>4</w:t>
      </w:r>
      <w:r>
        <w:rPr>
          <w:rFonts w:hint="eastAsia" w:ascii="宋体" w:hAnsi="宋体"/>
          <w:b/>
          <w:bCs/>
          <w:color w:val="000000"/>
          <w:sz w:val="28"/>
          <w:szCs w:val="28"/>
          <w:u w:val="single"/>
        </w:rPr>
        <w:t xml:space="preserve">           </w:t>
      </w:r>
    </w:p>
    <w:p>
      <w:pPr>
        <w:spacing w:line="660" w:lineRule="atLeast"/>
        <w:ind w:firstLine="359" w:firstLineChars="128"/>
        <w:jc w:val="left"/>
        <w:rPr>
          <w:rFonts w:ascii="宋体" w:hAnsi="宋体"/>
          <w:b/>
          <w:bCs/>
          <w:color w:val="000000"/>
          <w:sz w:val="28"/>
          <w:szCs w:val="28"/>
        </w:rPr>
      </w:pPr>
      <w:r>
        <w:rPr>
          <w:rFonts w:hint="eastAsia" w:ascii="宋体" w:hAnsi="宋体"/>
          <w:b/>
          <w:bCs/>
          <w:color w:val="000000"/>
          <w:sz w:val="28"/>
          <w:szCs w:val="28"/>
        </w:rPr>
        <w:t>采购</w:t>
      </w:r>
      <w:r>
        <w:rPr>
          <w:rFonts w:ascii="宋体" w:hAnsi="宋体"/>
          <w:b/>
          <w:bCs/>
          <w:color w:val="000000"/>
          <w:sz w:val="28"/>
          <w:szCs w:val="28"/>
        </w:rPr>
        <w:t>项目名称：</w:t>
      </w:r>
      <w:r>
        <w:rPr>
          <w:rFonts w:hint="eastAsia" w:ascii="宋体" w:hAnsi="宋体"/>
          <w:b/>
          <w:bCs/>
          <w:color w:val="000000"/>
          <w:sz w:val="28"/>
          <w:szCs w:val="28"/>
          <w:u w:val="single"/>
        </w:rPr>
        <w:t xml:space="preserve">江门市蓬江区人民法院科技法庭升级改造（第六期）项目 </w:t>
      </w:r>
    </w:p>
    <w:p>
      <w:pPr>
        <w:spacing w:line="360" w:lineRule="auto"/>
        <w:jc w:val="center"/>
        <w:rPr>
          <w:rFonts w:ascii="楷体_GB2312" w:hAnsi="宋体" w:eastAsia="楷体_GB2312"/>
          <w:b/>
          <w:bCs/>
          <w:color w:val="000000"/>
          <w:sz w:val="28"/>
          <w:szCs w:val="28"/>
        </w:rPr>
      </w:pPr>
      <w:r>
        <w:rPr>
          <w:rFonts w:hint="eastAsia" w:ascii="楷体_GB2312" w:hAnsi="宋体" w:eastAsia="楷体_GB2312"/>
          <w:b/>
          <w:bCs/>
          <w:color w:val="000000"/>
          <w:sz w:val="28"/>
          <w:szCs w:val="28"/>
        </w:rPr>
        <w:t xml:space="preserve"> 江门市蓬江区人民法院编制</w:t>
      </w:r>
    </w:p>
    <w:p>
      <w:pPr>
        <w:spacing w:line="360" w:lineRule="auto"/>
        <w:jc w:val="center"/>
        <w:rPr>
          <w:rFonts w:ascii="楷体_GB2312" w:hAnsi="宋体" w:eastAsia="楷体_GB2312"/>
          <w:b/>
          <w:bCs/>
          <w:color w:val="000000"/>
          <w:sz w:val="28"/>
          <w:szCs w:val="28"/>
        </w:rPr>
      </w:pPr>
      <w:r>
        <w:rPr>
          <w:rFonts w:hint="eastAsia" w:ascii="楷体_GB2312" w:hAnsi="宋体" w:eastAsia="楷体_GB2312"/>
          <w:b/>
          <w:bCs/>
          <w:color w:val="000000"/>
          <w:sz w:val="28"/>
          <w:szCs w:val="28"/>
        </w:rPr>
        <w:t>发布日期：2020年6月17日</w:t>
      </w:r>
    </w:p>
    <w:p>
      <w:pPr>
        <w:widowControl/>
        <w:shd w:val="clear" w:color="auto" w:fill="FFFFFF"/>
        <w:spacing w:line="315" w:lineRule="atLeast"/>
        <w:jc w:val="center"/>
        <w:rPr>
          <w:rFonts w:ascii="宋体" w:hAnsi="宋体" w:eastAsia="宋体" w:cs="宋体"/>
          <w:b/>
          <w:bCs/>
          <w:color w:val="222222"/>
          <w:kern w:val="0"/>
          <w:sz w:val="30"/>
          <w:szCs w:val="30"/>
        </w:rPr>
      </w:pPr>
    </w:p>
    <w:p>
      <w:pPr>
        <w:widowControl/>
        <w:shd w:val="clear" w:color="auto" w:fill="FFFFFF"/>
        <w:spacing w:line="315" w:lineRule="atLeast"/>
        <w:jc w:val="center"/>
        <w:rPr>
          <w:rFonts w:ascii="宋体" w:hAnsi="宋体" w:eastAsia="宋体" w:cs="宋体"/>
          <w:b/>
          <w:bCs/>
          <w:color w:val="222222"/>
          <w:kern w:val="0"/>
          <w:sz w:val="30"/>
          <w:szCs w:val="30"/>
        </w:rPr>
      </w:pPr>
      <w:r>
        <w:rPr>
          <w:rFonts w:hint="eastAsia" w:ascii="宋体" w:hAnsi="宋体" w:eastAsia="宋体" w:cs="宋体"/>
          <w:b/>
          <w:bCs/>
          <w:color w:val="222222"/>
          <w:kern w:val="0"/>
          <w:sz w:val="30"/>
          <w:szCs w:val="30"/>
        </w:rPr>
        <w:t>江门市蓬江区人民法院科技法庭升级改造（第六期）</w:t>
      </w:r>
      <w:r>
        <w:rPr>
          <w:rFonts w:hint="eastAsia" w:ascii="宋体" w:hAnsi="宋体" w:eastAsia="宋体" w:cs="宋体"/>
          <w:b/>
          <w:bCs/>
          <w:color w:val="222222"/>
          <w:kern w:val="0"/>
          <w:sz w:val="30"/>
          <w:szCs w:val="30"/>
          <w:lang w:eastAsia="zh-CN"/>
        </w:rPr>
        <w:t>项目</w:t>
      </w:r>
      <w:r>
        <w:rPr>
          <w:rFonts w:hint="eastAsia" w:ascii="宋体" w:hAnsi="宋体" w:eastAsia="宋体" w:cs="宋体"/>
          <w:b/>
          <w:bCs/>
          <w:color w:val="222222"/>
          <w:kern w:val="0"/>
          <w:sz w:val="30"/>
          <w:szCs w:val="30"/>
        </w:rPr>
        <w:t>询价文件</w:t>
      </w:r>
    </w:p>
    <w:p>
      <w:pPr>
        <w:widowControl/>
        <w:shd w:val="clear" w:color="auto" w:fill="FFFFFF"/>
        <w:spacing w:line="315" w:lineRule="atLeast"/>
        <w:jc w:val="center"/>
        <w:rPr>
          <w:rFonts w:ascii="宋体" w:hAnsi="宋体" w:eastAsia="宋体" w:cs="宋体"/>
          <w:color w:val="333333"/>
          <w:kern w:val="0"/>
          <w:szCs w:val="21"/>
        </w:rPr>
      </w:pPr>
    </w:p>
    <w:p>
      <w:pPr>
        <w:widowControl/>
        <w:shd w:val="clear" w:color="auto" w:fill="FFFFFF"/>
        <w:spacing w:line="315" w:lineRule="atLeast"/>
        <w:ind w:firstLine="480"/>
        <w:jc w:val="left"/>
        <w:rPr>
          <w:rFonts w:ascii="宋体" w:hAnsi="宋体" w:eastAsia="宋体" w:cs="宋体"/>
          <w:color w:val="333333"/>
          <w:kern w:val="0"/>
          <w:szCs w:val="21"/>
        </w:rPr>
      </w:pPr>
      <w:r>
        <w:rPr>
          <w:rFonts w:hint="eastAsia" w:ascii="宋体" w:hAnsi="宋体" w:eastAsia="宋体" w:cs="宋体"/>
          <w:color w:val="222222"/>
          <w:kern w:val="0"/>
          <w:sz w:val="24"/>
          <w:szCs w:val="24"/>
        </w:rPr>
        <w:t>根据法院</w:t>
      </w:r>
      <w:r>
        <w:rPr>
          <w:rFonts w:hint="eastAsia" w:ascii="宋体" w:hAnsi="宋体" w:eastAsia="宋体" w:cs="宋体"/>
          <w:color w:val="222222"/>
          <w:kern w:val="0"/>
          <w:sz w:val="24"/>
          <w:szCs w:val="24"/>
          <w:lang w:eastAsia="zh-CN"/>
        </w:rPr>
        <w:t>庭审工作</w:t>
      </w:r>
      <w:r>
        <w:rPr>
          <w:rFonts w:hint="eastAsia" w:ascii="宋体" w:hAnsi="宋体" w:eastAsia="宋体" w:cs="宋体"/>
          <w:color w:val="222222"/>
          <w:kern w:val="0"/>
          <w:sz w:val="24"/>
          <w:szCs w:val="24"/>
        </w:rPr>
        <w:t>需要，江门市蓬江区人民法院对“江门市蓬江区人民法院科技法庭升级改造（第六期）”项目实施采购。</w:t>
      </w:r>
    </w:p>
    <w:p>
      <w:pPr>
        <w:widowControl/>
        <w:shd w:val="clear" w:color="auto" w:fill="FFFFFF"/>
        <w:spacing w:line="315" w:lineRule="atLeast"/>
        <w:ind w:firstLine="482"/>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一、项目名称及编号</w:t>
      </w:r>
    </w:p>
    <w:p>
      <w:pPr>
        <w:widowControl/>
        <w:shd w:val="clear" w:color="auto" w:fill="FFFFFF"/>
        <w:spacing w:line="315" w:lineRule="atLeast"/>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    </w:t>
      </w:r>
      <w:r>
        <w:rPr>
          <w:rFonts w:hint="eastAsia" w:ascii="宋体" w:hAnsi="宋体" w:eastAsia="宋体" w:cs="宋体"/>
          <w:color w:val="222222"/>
          <w:kern w:val="0"/>
          <w:sz w:val="24"/>
          <w:szCs w:val="24"/>
        </w:rPr>
        <w:t>项目名称：江门市蓬江区人民法院科技法庭升级改造（第六期）</w:t>
      </w:r>
    </w:p>
    <w:p>
      <w:pPr>
        <w:widowControl/>
        <w:shd w:val="clear" w:color="auto" w:fill="FFFFFF"/>
        <w:spacing w:line="315" w:lineRule="atLeast"/>
        <w:jc w:val="left"/>
        <w:rPr>
          <w:rFonts w:hint="eastAsia" w:ascii="宋体" w:hAnsi="宋体" w:eastAsia="宋体" w:cs="宋体"/>
          <w:color w:val="333333"/>
          <w:kern w:val="0"/>
          <w:szCs w:val="21"/>
          <w:lang w:eastAsia="zh-CN"/>
        </w:rPr>
      </w:pPr>
      <w:r>
        <w:rPr>
          <w:rFonts w:hint="eastAsia" w:ascii="宋体" w:hAnsi="宋体" w:eastAsia="宋体" w:cs="宋体"/>
          <w:color w:val="222222"/>
          <w:kern w:val="0"/>
          <w:sz w:val="24"/>
          <w:szCs w:val="24"/>
        </w:rPr>
        <w:t>    编    号：PJFY-2020060</w:t>
      </w:r>
      <w:r>
        <w:rPr>
          <w:rFonts w:hint="eastAsia" w:ascii="宋体" w:hAnsi="宋体" w:eastAsia="宋体" w:cs="宋体"/>
          <w:color w:val="222222"/>
          <w:kern w:val="0"/>
          <w:sz w:val="24"/>
          <w:szCs w:val="24"/>
          <w:lang w:val="en-US" w:eastAsia="zh-CN"/>
        </w:rPr>
        <w:t>4</w:t>
      </w:r>
    </w:p>
    <w:p>
      <w:pPr>
        <w:widowControl/>
        <w:shd w:val="clear" w:color="auto" w:fill="FFFFFF"/>
        <w:spacing w:line="315" w:lineRule="atLeast"/>
        <w:ind w:firstLine="482"/>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二、投标人资格要求</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rPr>
        <w:t>1.投标人须是中国大陆境内注册的独立法人或其他组织，具有工商行政管理部门核发的营业执照或事业单位法人证书，能独立承担民事责任；</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rPr>
        <w:t>2.投标人未被“信用中国”网站（www.creditchina.gov.cn）列入“失信被执行人”、“重大税收违法案件当事人名单”、“政府采购严重违法失信名单”中任意一项或多项记录名单；同时，供应商未处于中国政府采购网(www.ccgp.gov.cn)“政府采购严重违法失信行为信息记录名单”中的禁止参加政府采购活动期间，提供网络截图页面，并加盖投标人公章；</w:t>
      </w:r>
    </w:p>
    <w:p>
      <w:pPr>
        <w:widowControl/>
        <w:shd w:val="clear" w:color="auto" w:fill="FFFFFF"/>
        <w:spacing w:line="315" w:lineRule="atLeast"/>
        <w:ind w:firstLine="540"/>
        <w:jc w:val="left"/>
        <w:rPr>
          <w:rFonts w:ascii="宋体" w:hAnsi="宋体" w:eastAsia="宋体" w:cs="宋体"/>
          <w:color w:val="222222"/>
          <w:kern w:val="0"/>
          <w:sz w:val="24"/>
          <w:szCs w:val="24"/>
        </w:rPr>
      </w:pPr>
      <w:r>
        <w:rPr>
          <w:rFonts w:hint="eastAsia" w:ascii="宋体" w:hAnsi="宋体" w:eastAsia="宋体" w:cs="宋体"/>
          <w:color w:val="222222"/>
          <w:kern w:val="0"/>
          <w:sz w:val="24"/>
          <w:szCs w:val="24"/>
        </w:rPr>
        <w:t>3.本项目不接受联合投标。</w:t>
      </w:r>
    </w:p>
    <w:p>
      <w:pPr>
        <w:widowControl/>
        <w:shd w:val="clear" w:color="auto" w:fill="FFFFFF"/>
        <w:spacing w:line="315" w:lineRule="atLeast"/>
        <w:ind w:firstLine="540"/>
        <w:jc w:val="left"/>
        <w:rPr>
          <w:rFonts w:ascii="宋体" w:hAnsi="宋体" w:eastAsia="宋体" w:cs="宋体"/>
          <w:color w:val="333333"/>
          <w:kern w:val="0"/>
          <w:szCs w:val="21"/>
        </w:rPr>
      </w:pPr>
    </w:p>
    <w:p>
      <w:pPr>
        <w:widowControl/>
        <w:shd w:val="clear" w:color="auto" w:fill="FFFFFF"/>
        <w:spacing w:line="315" w:lineRule="atLeast"/>
        <w:ind w:firstLine="482"/>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三、项目内容</w:t>
      </w:r>
    </w:p>
    <w:p>
      <w:pPr>
        <w:rPr>
          <w:rFonts w:eastAsia="宋体"/>
        </w:rPr>
      </w:pPr>
      <w:bookmarkStart w:id="0" w:name="_Toc519866696"/>
      <w:bookmarkEnd w:id="0"/>
    </w:p>
    <w:p>
      <w:pPr>
        <w:numPr>
          <w:ilvl w:val="0"/>
          <w:numId w:val="0"/>
        </w:numPr>
        <w:spacing w:line="360" w:lineRule="auto"/>
        <w:ind w:leftChars="0"/>
        <w:rPr>
          <w:rFonts w:hint="eastAsia" w:ascii="宋体" w:hAnsi="宋体"/>
          <w:color w:val="000000"/>
          <w:sz w:val="24"/>
        </w:rPr>
      </w:pPr>
      <w:r>
        <w:rPr>
          <w:rFonts w:hint="eastAsia"/>
          <w:color w:val="000000"/>
          <w:sz w:val="24"/>
          <w:lang w:val="en-US" w:eastAsia="zh-CN"/>
        </w:rPr>
        <w:t>3.1</w:t>
      </w:r>
      <w:r>
        <w:rPr>
          <w:rFonts w:hint="eastAsia"/>
          <w:color w:val="000000"/>
          <w:sz w:val="24"/>
        </w:rPr>
        <w:t>项目概况：</w:t>
      </w:r>
      <w:r>
        <w:rPr>
          <w:rFonts w:hint="eastAsia" w:ascii="宋体" w:hAnsi="宋体"/>
          <w:color w:val="000000"/>
          <w:sz w:val="24"/>
        </w:rPr>
        <w:t>本项目应用于</w:t>
      </w:r>
      <w:r>
        <w:rPr>
          <w:rFonts w:hint="eastAsia" w:ascii="宋体" w:hAnsi="宋体"/>
          <w:color w:val="000000"/>
          <w:sz w:val="24"/>
          <w:szCs w:val="24"/>
        </w:rPr>
        <w:t>江门市蓬江区人民法院第一、三、四审判庭科技法庭设备升级采购。</w:t>
      </w:r>
    </w:p>
    <w:p>
      <w:pPr>
        <w:numPr>
          <w:ilvl w:val="0"/>
          <w:numId w:val="0"/>
        </w:numPr>
        <w:spacing w:line="360" w:lineRule="auto"/>
        <w:ind w:leftChars="0"/>
        <w:rPr>
          <w:rFonts w:hint="eastAsia"/>
          <w:color w:val="000000"/>
          <w:sz w:val="24"/>
        </w:rPr>
      </w:pPr>
      <w:r>
        <w:rPr>
          <w:rFonts w:hint="eastAsia"/>
          <w:color w:val="000000"/>
          <w:sz w:val="24"/>
          <w:lang w:val="en-US" w:eastAsia="zh-CN"/>
        </w:rPr>
        <w:t>3.2</w:t>
      </w:r>
      <w:r>
        <w:rPr>
          <w:rFonts w:hint="eastAsia"/>
          <w:color w:val="000000"/>
          <w:sz w:val="24"/>
        </w:rPr>
        <w:t>项目采购具体设备清单、技术参数及配置要求：</w:t>
      </w:r>
    </w:p>
    <w:p>
      <w:pPr>
        <w:spacing w:line="360" w:lineRule="auto"/>
        <w:rPr>
          <w:rFonts w:hint="eastAsia"/>
          <w:color w:val="000000"/>
          <w:sz w:val="24"/>
        </w:rPr>
      </w:pPr>
      <w:r>
        <w:rPr>
          <w:rFonts w:hint="eastAsia"/>
          <w:color w:val="000000"/>
          <w:sz w:val="24"/>
        </w:rPr>
        <w:t>质量性能相当或优于以下要求：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241"/>
        <w:gridCol w:w="5437"/>
        <w:gridCol w:w="605"/>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blHeader/>
        </w:trPr>
        <w:tc>
          <w:tcPr>
            <w:tcW w:w="560" w:type="dxa"/>
            <w:shd w:val="clear" w:color="auto" w:fill="auto"/>
            <w:noWrap w:val="0"/>
            <w:vAlign w:val="center"/>
          </w:tcPr>
          <w:p>
            <w:pPr>
              <w:autoSpaceDN w:val="0"/>
              <w:jc w:val="center"/>
              <w:textAlignment w:val="center"/>
              <w:rPr>
                <w:rFonts w:ascii="宋体" w:hAnsi="宋体"/>
                <w:b/>
                <w:color w:val="000000"/>
                <w:sz w:val="24"/>
                <w:szCs w:val="24"/>
              </w:rPr>
            </w:pPr>
            <w:r>
              <w:rPr>
                <w:rFonts w:ascii="宋体" w:hAnsi="宋体"/>
                <w:b/>
                <w:color w:val="000000"/>
                <w:sz w:val="24"/>
                <w:szCs w:val="24"/>
              </w:rPr>
              <w:t>序号</w:t>
            </w:r>
          </w:p>
        </w:tc>
        <w:tc>
          <w:tcPr>
            <w:tcW w:w="1302" w:type="dxa"/>
            <w:shd w:val="clear" w:color="auto" w:fill="auto"/>
            <w:noWrap w:val="0"/>
            <w:vAlign w:val="center"/>
          </w:tcPr>
          <w:p>
            <w:pPr>
              <w:autoSpaceDN w:val="0"/>
              <w:jc w:val="center"/>
              <w:textAlignment w:val="center"/>
              <w:rPr>
                <w:rFonts w:ascii="宋体" w:hAnsi="宋体"/>
                <w:b/>
                <w:color w:val="000000"/>
                <w:sz w:val="24"/>
                <w:szCs w:val="24"/>
              </w:rPr>
            </w:pPr>
            <w:r>
              <w:rPr>
                <w:rFonts w:hint="eastAsia" w:ascii="宋体" w:hAnsi="宋体"/>
                <w:b/>
                <w:color w:val="000000"/>
                <w:sz w:val="24"/>
                <w:szCs w:val="24"/>
              </w:rPr>
              <w:t>设备</w:t>
            </w:r>
            <w:r>
              <w:rPr>
                <w:rFonts w:ascii="宋体" w:hAnsi="宋体"/>
                <w:b/>
                <w:color w:val="000000"/>
                <w:sz w:val="24"/>
                <w:szCs w:val="24"/>
              </w:rPr>
              <w:t>名称</w:t>
            </w:r>
          </w:p>
        </w:tc>
        <w:tc>
          <w:tcPr>
            <w:tcW w:w="5669" w:type="dxa"/>
            <w:shd w:val="clear" w:color="auto" w:fill="auto"/>
            <w:noWrap w:val="0"/>
            <w:vAlign w:val="center"/>
          </w:tcPr>
          <w:p>
            <w:pPr>
              <w:autoSpaceDN w:val="0"/>
              <w:jc w:val="center"/>
              <w:textAlignment w:val="center"/>
              <w:rPr>
                <w:rFonts w:ascii="宋体" w:hAnsi="宋体"/>
                <w:b/>
                <w:color w:val="000000"/>
                <w:sz w:val="24"/>
                <w:szCs w:val="24"/>
              </w:rPr>
            </w:pPr>
            <w:r>
              <w:rPr>
                <w:rFonts w:hint="eastAsia" w:ascii="宋体" w:hAnsi="宋体"/>
                <w:b/>
                <w:color w:val="000000"/>
                <w:sz w:val="24"/>
                <w:szCs w:val="24"/>
              </w:rPr>
              <w:t>技术参数及配置</w:t>
            </w:r>
          </w:p>
        </w:tc>
        <w:tc>
          <w:tcPr>
            <w:tcW w:w="616" w:type="dxa"/>
            <w:shd w:val="clear" w:color="auto" w:fill="auto"/>
            <w:noWrap w:val="0"/>
            <w:vAlign w:val="center"/>
          </w:tcPr>
          <w:p>
            <w:pPr>
              <w:autoSpaceDN w:val="0"/>
              <w:jc w:val="center"/>
              <w:textAlignment w:val="center"/>
              <w:rPr>
                <w:rFonts w:ascii="宋体" w:hAnsi="宋体"/>
                <w:b/>
                <w:color w:val="000000"/>
                <w:sz w:val="24"/>
                <w:szCs w:val="24"/>
              </w:rPr>
            </w:pPr>
            <w:r>
              <w:rPr>
                <w:rFonts w:ascii="宋体" w:hAnsi="宋体"/>
                <w:b/>
                <w:color w:val="000000"/>
                <w:sz w:val="24"/>
                <w:szCs w:val="24"/>
              </w:rPr>
              <w:t>单位</w:t>
            </w:r>
          </w:p>
        </w:tc>
        <w:tc>
          <w:tcPr>
            <w:tcW w:w="588" w:type="dxa"/>
            <w:shd w:val="clear" w:color="auto" w:fill="auto"/>
            <w:noWrap w:val="0"/>
            <w:vAlign w:val="center"/>
          </w:tcPr>
          <w:p>
            <w:pPr>
              <w:autoSpaceDN w:val="0"/>
              <w:jc w:val="center"/>
              <w:textAlignment w:val="center"/>
              <w:rPr>
                <w:rFonts w:ascii="宋体" w:hAnsi="宋体"/>
                <w:b/>
                <w:color w:val="000000"/>
                <w:sz w:val="24"/>
                <w:szCs w:val="24"/>
              </w:rPr>
            </w:pPr>
            <w:r>
              <w:rPr>
                <w:rFonts w:ascii="宋体" w:hAnsi="宋体"/>
                <w:b/>
                <w:color w:val="00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60" w:type="dxa"/>
            <w:shd w:val="clear" w:color="auto" w:fill="auto"/>
            <w:noWrap w:val="0"/>
            <w:vAlign w:val="center"/>
          </w:tcPr>
          <w:p>
            <w:pPr>
              <w:autoSpaceDN w:val="0"/>
              <w:jc w:val="center"/>
              <w:textAlignment w:val="center"/>
              <w:rPr>
                <w:rFonts w:hint="eastAsia" w:ascii="宋体" w:hAnsi="宋体"/>
                <w:color w:val="000000"/>
                <w:sz w:val="24"/>
                <w:szCs w:val="24"/>
              </w:rPr>
            </w:pPr>
            <w:r>
              <w:rPr>
                <w:rFonts w:hint="eastAsia" w:ascii="宋体" w:hAnsi="宋体"/>
                <w:color w:val="000000"/>
                <w:sz w:val="24"/>
                <w:szCs w:val="24"/>
              </w:rPr>
              <w:t>1</w:t>
            </w:r>
          </w:p>
        </w:tc>
        <w:tc>
          <w:tcPr>
            <w:tcW w:w="1302" w:type="dxa"/>
            <w:shd w:val="clear" w:color="auto" w:fill="auto"/>
            <w:noWrap w:val="0"/>
            <w:vAlign w:val="center"/>
          </w:tcPr>
          <w:p>
            <w:pPr>
              <w:autoSpaceDN w:val="0"/>
              <w:jc w:val="center"/>
              <w:textAlignment w:val="center"/>
              <w:rPr>
                <w:rFonts w:ascii="宋体" w:hAnsi="宋体"/>
                <w:color w:val="000000"/>
                <w:sz w:val="24"/>
                <w:szCs w:val="24"/>
              </w:rPr>
            </w:pPr>
            <w:r>
              <w:rPr>
                <w:rFonts w:hint="eastAsia" w:ascii="宋体" w:hAnsi="宋体" w:cs="宋体"/>
                <w:color w:val="000000"/>
                <w:kern w:val="0"/>
              </w:rPr>
              <w:t>高清标准庭审主机</w:t>
            </w:r>
          </w:p>
        </w:tc>
        <w:tc>
          <w:tcPr>
            <w:tcW w:w="5669" w:type="dxa"/>
            <w:shd w:val="clear" w:color="auto" w:fill="auto"/>
            <w:noWrap w:val="0"/>
            <w:vAlign w:val="center"/>
          </w:tcPr>
          <w:p>
            <w:pPr>
              <w:autoSpaceDN w:val="0"/>
              <w:spacing w:line="360" w:lineRule="atLeast"/>
              <w:ind w:firstLine="420" w:firstLineChars="200"/>
              <w:jc w:val="left"/>
              <w:textAlignment w:val="center"/>
              <w:rPr>
                <w:rFonts w:ascii="宋体" w:hAnsi="宋体"/>
                <w:color w:val="000000"/>
                <w:sz w:val="24"/>
                <w:szCs w:val="24"/>
              </w:rPr>
            </w:pPr>
            <w:r>
              <w:rPr>
                <w:rFonts w:hint="eastAsia" w:ascii="宋体" w:hAnsi="宋体" w:cs="宋体"/>
                <w:color w:val="000000"/>
                <w:kern w:val="0"/>
              </w:rPr>
              <w:t>主机高度集成，高度3U，深度45CM， 6路数字高清1080P视频输入,使用HD-SDI接口，用于接入数字高清旋转摄像机等设备；6路VGA和4路HDMI信号输入，用于接入远程信号、公诉席或辩护席外接的笔记本信号、书记员电脑笔录信号、展台证据信号等；内置智能红外学习功能，直接编译控制，8路可编程红外发射端口；可同时控制多个使用红外控制的设备，（如电视机、高清同步监视器等、远程终端以及各类音响设备等）；10路可编程RS-232/RS-485混用端口；可同时控制多个使用RS-232/RS-485控制的设备，（如高清摄像机、证据展示台、高清投影机、远程终端、各类矩阵、各类音响设备等）；支持最高8路高清独立编码录像，以确保案件审理过程中每个当事人的每个庭审细节都能清晰还原。每一路视频录制码流可根据用户自定义分辨率（720p,1080i,1080p）,码流可设置在（512K 至32MB）；支持外接音频识别处理器，实现语音激励（，画面自动切换 ，支持不少于3台摄像机的摄像联动控制）联动视频切换功能。（每个音频识别处理器提供8路麦克风接入（最大支持最大64台音频识别处理器级联）；4路HD-SDI数字高清1080P视频输出、6路VGA信号输出、4路HDMI信号输出，以适应各类显示设备、远程终端的显示需求； 6路音频输入，6路音频输出，采用双编组设计；支持1/2/4/6多画面显示，合成画面分辨率1080P；支持TCP、UDP、RTP、RTSP、组播传输网络协议；单块支持2T硬盘存储空间，可扩展至4块；内置温度传感器，实时检测主机内部温度，智能控制散热风扇工作，支持外接温湿度传感器模块，实时检测室内温湿度；主机前面板内置高清监视屏，真实还原庭审现场；支持庭审音频独立存储，证据信号截图存储，截图分辨率高达1920*1080。</w:t>
            </w:r>
          </w:p>
        </w:tc>
        <w:tc>
          <w:tcPr>
            <w:tcW w:w="616" w:type="dxa"/>
            <w:shd w:val="clear" w:color="auto" w:fill="auto"/>
            <w:noWrap w:val="0"/>
            <w:vAlign w:val="center"/>
          </w:tcPr>
          <w:p>
            <w:pPr>
              <w:autoSpaceDN w:val="0"/>
              <w:jc w:val="center"/>
              <w:textAlignment w:val="center"/>
              <w:rPr>
                <w:rFonts w:hint="eastAsia" w:ascii="宋体" w:hAnsi="宋体"/>
                <w:color w:val="000000"/>
                <w:sz w:val="24"/>
                <w:szCs w:val="24"/>
              </w:rPr>
            </w:pPr>
            <w:r>
              <w:rPr>
                <w:rFonts w:hint="eastAsia" w:ascii="宋体" w:hAnsi="宋体"/>
                <w:color w:val="000000"/>
                <w:sz w:val="24"/>
                <w:szCs w:val="24"/>
              </w:rPr>
              <w:t>台</w:t>
            </w:r>
          </w:p>
        </w:tc>
        <w:tc>
          <w:tcPr>
            <w:tcW w:w="588" w:type="dxa"/>
            <w:shd w:val="clear" w:color="auto" w:fill="auto"/>
            <w:noWrap w:val="0"/>
            <w:vAlign w:val="center"/>
          </w:tcPr>
          <w:p>
            <w:pPr>
              <w:autoSpaceDN w:val="0"/>
              <w:jc w:val="center"/>
              <w:textAlignment w:val="center"/>
              <w:rPr>
                <w:rFonts w:hint="eastAsia" w:ascii="宋体" w:hAnsi="宋体"/>
                <w:color w:val="000000"/>
                <w:sz w:val="24"/>
                <w:szCs w:val="24"/>
              </w:rPr>
            </w:pPr>
            <w:r>
              <w:rPr>
                <w:rFonts w:hint="eastAsia" w:ascii="宋体" w:hAnsi="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0" w:type="dxa"/>
            <w:shd w:val="clear" w:color="auto" w:fill="auto"/>
            <w:noWrap w:val="0"/>
            <w:vAlign w:val="center"/>
          </w:tcPr>
          <w:p>
            <w:pPr>
              <w:autoSpaceDN w:val="0"/>
              <w:jc w:val="center"/>
              <w:textAlignment w:val="center"/>
              <w:rPr>
                <w:rFonts w:hint="eastAsia" w:ascii="宋体" w:hAnsi="宋体"/>
                <w:color w:val="000000"/>
                <w:sz w:val="24"/>
                <w:szCs w:val="24"/>
              </w:rPr>
            </w:pPr>
            <w:r>
              <w:rPr>
                <w:rFonts w:hint="eastAsia" w:ascii="宋体" w:hAnsi="宋体"/>
                <w:color w:val="000000"/>
                <w:sz w:val="24"/>
                <w:szCs w:val="24"/>
              </w:rPr>
              <w:t>2</w:t>
            </w:r>
          </w:p>
        </w:tc>
        <w:tc>
          <w:tcPr>
            <w:tcW w:w="1302" w:type="dxa"/>
            <w:shd w:val="clear" w:color="auto" w:fill="auto"/>
            <w:noWrap w:val="0"/>
            <w:vAlign w:val="center"/>
          </w:tcPr>
          <w:p>
            <w:pPr>
              <w:autoSpaceDN w:val="0"/>
              <w:jc w:val="center"/>
              <w:textAlignment w:val="center"/>
              <w:rPr>
                <w:rFonts w:ascii="宋体" w:hAnsi="宋体"/>
                <w:color w:val="000000"/>
                <w:sz w:val="24"/>
                <w:szCs w:val="24"/>
              </w:rPr>
            </w:pPr>
            <w:r>
              <w:rPr>
                <w:rFonts w:hint="eastAsia" w:ascii="宋体" w:hAnsi="宋体" w:cs="宋体"/>
                <w:color w:val="000000"/>
                <w:kern w:val="0"/>
              </w:rPr>
              <w:t>智慧法庭庭审软件</w:t>
            </w:r>
          </w:p>
        </w:tc>
        <w:tc>
          <w:tcPr>
            <w:tcW w:w="5669" w:type="dxa"/>
            <w:shd w:val="clear" w:color="auto" w:fill="auto"/>
            <w:noWrap w:val="0"/>
            <w:vAlign w:val="center"/>
          </w:tcPr>
          <w:p>
            <w:pPr>
              <w:autoSpaceDN w:val="0"/>
              <w:spacing w:line="360" w:lineRule="atLeast"/>
              <w:ind w:firstLine="420" w:firstLineChars="200"/>
              <w:jc w:val="left"/>
              <w:textAlignment w:val="center"/>
              <w:rPr>
                <w:rFonts w:ascii="宋体" w:hAnsi="宋体"/>
                <w:color w:val="000000"/>
                <w:sz w:val="24"/>
                <w:szCs w:val="24"/>
              </w:rPr>
            </w:pPr>
            <w:r>
              <w:rPr>
                <w:rFonts w:hint="eastAsia" w:ascii="宋体" w:hAnsi="宋体" w:cs="宋体"/>
                <w:color w:val="000000"/>
                <w:kern w:val="0"/>
              </w:rPr>
              <w:t>原有庭审系统及审判系统保持兼容，无缝对接；支持与中院软件系统对接， 能同步升级或兼容； 支持一键控制按钮，支持常用输入法；支持庭审过程控制，支持笔录校对功能；支持同屏可视化控制界面；支持笔录当庭打印功能；支持自动后台信息 同步。</w:t>
            </w:r>
          </w:p>
        </w:tc>
        <w:tc>
          <w:tcPr>
            <w:tcW w:w="616" w:type="dxa"/>
            <w:shd w:val="clear" w:color="auto" w:fill="auto"/>
            <w:noWrap w:val="0"/>
            <w:vAlign w:val="center"/>
          </w:tcPr>
          <w:p>
            <w:pPr>
              <w:autoSpaceDN w:val="0"/>
              <w:jc w:val="center"/>
              <w:textAlignment w:val="center"/>
              <w:rPr>
                <w:rFonts w:hint="eastAsia" w:ascii="宋体" w:hAnsi="宋体"/>
                <w:color w:val="000000"/>
                <w:sz w:val="24"/>
                <w:szCs w:val="24"/>
              </w:rPr>
            </w:pPr>
            <w:r>
              <w:rPr>
                <w:rFonts w:hint="eastAsia" w:ascii="宋体" w:hAnsi="宋体"/>
                <w:color w:val="000000"/>
                <w:sz w:val="24"/>
                <w:szCs w:val="24"/>
              </w:rPr>
              <w:t>套</w:t>
            </w:r>
          </w:p>
        </w:tc>
        <w:tc>
          <w:tcPr>
            <w:tcW w:w="588" w:type="dxa"/>
            <w:shd w:val="clear" w:color="auto" w:fill="auto"/>
            <w:noWrap w:val="0"/>
            <w:vAlign w:val="center"/>
          </w:tcPr>
          <w:p>
            <w:pPr>
              <w:autoSpaceDN w:val="0"/>
              <w:jc w:val="center"/>
              <w:textAlignment w:val="center"/>
              <w:rPr>
                <w:rFonts w:hint="eastAsia" w:ascii="宋体" w:hAnsi="宋体"/>
                <w:color w:val="000000"/>
                <w:sz w:val="24"/>
                <w:szCs w:val="24"/>
              </w:rPr>
            </w:pPr>
            <w:r>
              <w:rPr>
                <w:rFonts w:hint="eastAsia" w:ascii="宋体" w:hAnsi="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60" w:type="dxa"/>
            <w:shd w:val="clear" w:color="auto" w:fill="auto"/>
            <w:noWrap w:val="0"/>
            <w:vAlign w:val="center"/>
          </w:tcPr>
          <w:p>
            <w:pPr>
              <w:autoSpaceDN w:val="0"/>
              <w:jc w:val="center"/>
              <w:textAlignment w:val="center"/>
              <w:rPr>
                <w:rFonts w:hint="eastAsia" w:ascii="宋体" w:hAnsi="宋体"/>
                <w:color w:val="000000"/>
                <w:sz w:val="24"/>
                <w:szCs w:val="24"/>
              </w:rPr>
            </w:pPr>
            <w:r>
              <w:rPr>
                <w:rFonts w:hint="eastAsia" w:ascii="宋体" w:hAnsi="宋体"/>
                <w:color w:val="000000"/>
                <w:sz w:val="24"/>
                <w:szCs w:val="24"/>
              </w:rPr>
              <w:t>3</w:t>
            </w:r>
          </w:p>
        </w:tc>
        <w:tc>
          <w:tcPr>
            <w:tcW w:w="1302" w:type="dxa"/>
            <w:shd w:val="clear" w:color="auto" w:fill="auto"/>
            <w:noWrap w:val="0"/>
            <w:vAlign w:val="center"/>
          </w:tcPr>
          <w:p>
            <w:pPr>
              <w:autoSpaceDN w:val="0"/>
              <w:jc w:val="center"/>
              <w:textAlignment w:val="center"/>
              <w:rPr>
                <w:rFonts w:ascii="宋体" w:hAnsi="宋体"/>
                <w:color w:val="000000"/>
                <w:sz w:val="24"/>
                <w:szCs w:val="24"/>
              </w:rPr>
            </w:pPr>
            <w:r>
              <w:rPr>
                <w:rFonts w:hint="eastAsia" w:ascii="宋体" w:hAnsi="宋体" w:cs="宋体"/>
                <w:color w:val="000000"/>
                <w:kern w:val="0"/>
              </w:rPr>
              <w:t>有线鹅颈会议话筒</w:t>
            </w:r>
          </w:p>
        </w:tc>
        <w:tc>
          <w:tcPr>
            <w:tcW w:w="5669" w:type="dxa"/>
            <w:shd w:val="clear" w:color="auto" w:fill="auto"/>
            <w:noWrap w:val="0"/>
            <w:vAlign w:val="center"/>
          </w:tcPr>
          <w:p>
            <w:pPr>
              <w:autoSpaceDN w:val="0"/>
              <w:spacing w:line="360" w:lineRule="atLeast"/>
              <w:ind w:firstLine="420" w:firstLineChars="200"/>
              <w:jc w:val="left"/>
              <w:textAlignment w:val="center"/>
              <w:rPr>
                <w:rFonts w:ascii="宋体" w:hAnsi="宋体"/>
                <w:color w:val="000000"/>
                <w:sz w:val="24"/>
                <w:szCs w:val="24"/>
              </w:rPr>
            </w:pPr>
            <w:r>
              <w:rPr>
                <w:rFonts w:hint="eastAsia" w:ascii="宋体" w:hAnsi="宋体" w:cs="宋体"/>
                <w:color w:val="000000"/>
                <w:kern w:val="0"/>
              </w:rPr>
              <w:t>指向特性：心型信噪比(S/N)：&gt; 92dB频率响应：20Hz—20KHz输出阻抗：280欧姆最大声压：140dB，THD&lt;1%灵敏度：-40dBV-Pa输入连接器：4针航空插公头输出连接器：3针卡侬公头供电：48V供电</w:t>
            </w:r>
          </w:p>
        </w:tc>
        <w:tc>
          <w:tcPr>
            <w:tcW w:w="616" w:type="dxa"/>
            <w:shd w:val="clear" w:color="auto" w:fill="auto"/>
            <w:noWrap w:val="0"/>
            <w:vAlign w:val="center"/>
          </w:tcPr>
          <w:p>
            <w:pPr>
              <w:autoSpaceDN w:val="0"/>
              <w:jc w:val="center"/>
              <w:textAlignment w:val="center"/>
              <w:rPr>
                <w:rFonts w:hint="eastAsia" w:ascii="宋体" w:hAnsi="宋体"/>
                <w:color w:val="000000"/>
                <w:sz w:val="24"/>
                <w:szCs w:val="24"/>
              </w:rPr>
            </w:pPr>
            <w:r>
              <w:rPr>
                <w:rFonts w:hint="eastAsia" w:ascii="宋体" w:hAnsi="宋体"/>
                <w:color w:val="000000"/>
                <w:sz w:val="24"/>
                <w:szCs w:val="24"/>
              </w:rPr>
              <w:t>支</w:t>
            </w:r>
          </w:p>
        </w:tc>
        <w:tc>
          <w:tcPr>
            <w:tcW w:w="588" w:type="dxa"/>
            <w:shd w:val="clear" w:color="auto" w:fill="auto"/>
            <w:noWrap w:val="0"/>
            <w:vAlign w:val="center"/>
          </w:tcPr>
          <w:p>
            <w:pPr>
              <w:autoSpaceDN w:val="0"/>
              <w:jc w:val="center"/>
              <w:textAlignment w:val="center"/>
              <w:rPr>
                <w:rFonts w:hint="eastAsia"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60" w:type="dxa"/>
            <w:shd w:val="clear" w:color="auto" w:fill="auto"/>
            <w:noWrap w:val="0"/>
            <w:vAlign w:val="center"/>
          </w:tcPr>
          <w:p>
            <w:pPr>
              <w:autoSpaceDN w:val="0"/>
              <w:jc w:val="center"/>
              <w:textAlignment w:val="center"/>
              <w:rPr>
                <w:rFonts w:hint="eastAsia" w:ascii="宋体" w:hAnsi="宋体"/>
                <w:color w:val="000000"/>
                <w:sz w:val="24"/>
                <w:szCs w:val="24"/>
              </w:rPr>
            </w:pPr>
            <w:r>
              <w:rPr>
                <w:rFonts w:hint="eastAsia" w:ascii="宋体" w:hAnsi="宋体"/>
                <w:color w:val="000000"/>
                <w:sz w:val="24"/>
                <w:szCs w:val="24"/>
              </w:rPr>
              <w:t>4</w:t>
            </w:r>
          </w:p>
        </w:tc>
        <w:tc>
          <w:tcPr>
            <w:tcW w:w="1302" w:type="dxa"/>
            <w:shd w:val="clear" w:color="auto" w:fill="auto"/>
            <w:noWrap w:val="0"/>
            <w:vAlign w:val="center"/>
          </w:tcPr>
          <w:p>
            <w:pPr>
              <w:autoSpaceDN w:val="0"/>
              <w:jc w:val="center"/>
              <w:textAlignment w:val="center"/>
              <w:rPr>
                <w:rFonts w:ascii="宋体" w:hAnsi="宋体"/>
                <w:color w:val="000000"/>
                <w:sz w:val="24"/>
                <w:szCs w:val="24"/>
              </w:rPr>
            </w:pPr>
            <w:r>
              <w:rPr>
                <w:rFonts w:hint="eastAsia" w:ascii="宋体" w:hAnsi="宋体" w:cs="宋体"/>
                <w:color w:val="000000"/>
                <w:kern w:val="0"/>
              </w:rPr>
              <w:t>网控8路时序电源</w:t>
            </w:r>
          </w:p>
        </w:tc>
        <w:tc>
          <w:tcPr>
            <w:tcW w:w="5669" w:type="dxa"/>
            <w:shd w:val="clear" w:color="auto" w:fill="auto"/>
            <w:noWrap w:val="0"/>
            <w:vAlign w:val="center"/>
          </w:tcPr>
          <w:p>
            <w:pPr>
              <w:autoSpaceDN w:val="0"/>
              <w:spacing w:line="360" w:lineRule="atLeast"/>
              <w:ind w:firstLine="420" w:firstLineChars="200"/>
              <w:jc w:val="left"/>
              <w:textAlignment w:val="center"/>
              <w:rPr>
                <w:rFonts w:ascii="宋体" w:hAnsi="宋体"/>
                <w:color w:val="000000"/>
                <w:sz w:val="24"/>
                <w:szCs w:val="24"/>
              </w:rPr>
            </w:pPr>
            <w:r>
              <w:rPr>
                <w:rFonts w:hint="eastAsia" w:ascii="宋体" w:hAnsi="宋体" w:cs="宋体"/>
                <w:color w:val="000000"/>
                <w:kern w:val="0"/>
              </w:rPr>
              <w:t>提供 8 个电源开关通道；每路电源支持独立开关，支持一键全开全关；单通道的最大电流为 10A，总输入电流容量为 30A；开启和关闭时间间隔可自定义；控制方式：提供 RJ45 网口、RS232 串口。</w:t>
            </w:r>
          </w:p>
        </w:tc>
        <w:tc>
          <w:tcPr>
            <w:tcW w:w="616" w:type="dxa"/>
            <w:shd w:val="clear" w:color="auto" w:fill="auto"/>
            <w:noWrap w:val="0"/>
            <w:vAlign w:val="center"/>
          </w:tcPr>
          <w:p>
            <w:pPr>
              <w:autoSpaceDN w:val="0"/>
              <w:jc w:val="center"/>
              <w:textAlignment w:val="center"/>
              <w:rPr>
                <w:rFonts w:hint="eastAsia" w:ascii="宋体" w:hAnsi="宋体"/>
                <w:color w:val="000000"/>
                <w:sz w:val="24"/>
                <w:szCs w:val="24"/>
              </w:rPr>
            </w:pPr>
            <w:r>
              <w:rPr>
                <w:rFonts w:hint="eastAsia" w:ascii="宋体" w:hAnsi="宋体"/>
                <w:color w:val="000000"/>
                <w:sz w:val="24"/>
                <w:szCs w:val="24"/>
              </w:rPr>
              <w:t>台</w:t>
            </w:r>
          </w:p>
        </w:tc>
        <w:tc>
          <w:tcPr>
            <w:tcW w:w="588" w:type="dxa"/>
            <w:shd w:val="clear" w:color="auto" w:fill="auto"/>
            <w:noWrap w:val="0"/>
            <w:vAlign w:val="center"/>
          </w:tcPr>
          <w:p>
            <w:pPr>
              <w:autoSpaceDN w:val="0"/>
              <w:jc w:val="center"/>
              <w:textAlignment w:val="center"/>
              <w:rPr>
                <w:rFonts w:hint="eastAsia" w:ascii="宋体" w:hAnsi="宋体"/>
                <w:color w:val="000000"/>
                <w:sz w:val="24"/>
                <w:szCs w:val="24"/>
              </w:rPr>
            </w:pPr>
            <w:r>
              <w:rPr>
                <w:rFonts w:hint="eastAsia" w:ascii="宋体" w:hAnsi="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60" w:type="dxa"/>
            <w:shd w:val="clear" w:color="auto" w:fill="auto"/>
            <w:noWrap w:val="0"/>
            <w:vAlign w:val="center"/>
          </w:tcPr>
          <w:p>
            <w:pPr>
              <w:autoSpaceDN w:val="0"/>
              <w:jc w:val="center"/>
              <w:textAlignment w:val="center"/>
              <w:rPr>
                <w:rFonts w:hint="eastAsia" w:ascii="宋体" w:hAnsi="宋体"/>
                <w:color w:val="000000"/>
                <w:sz w:val="24"/>
                <w:szCs w:val="24"/>
              </w:rPr>
            </w:pPr>
            <w:r>
              <w:rPr>
                <w:rFonts w:hint="eastAsia" w:ascii="宋体" w:hAnsi="宋体"/>
                <w:color w:val="000000"/>
                <w:sz w:val="24"/>
                <w:szCs w:val="24"/>
              </w:rPr>
              <w:t>5</w:t>
            </w:r>
          </w:p>
        </w:tc>
        <w:tc>
          <w:tcPr>
            <w:tcW w:w="1302" w:type="dxa"/>
            <w:shd w:val="clear" w:color="auto" w:fill="auto"/>
            <w:noWrap w:val="0"/>
            <w:vAlign w:val="center"/>
          </w:tcPr>
          <w:p>
            <w:pPr>
              <w:autoSpaceDN w:val="0"/>
              <w:jc w:val="center"/>
              <w:textAlignment w:val="center"/>
              <w:rPr>
                <w:rFonts w:ascii="宋体" w:hAnsi="宋体"/>
                <w:color w:val="000000"/>
                <w:sz w:val="24"/>
                <w:szCs w:val="24"/>
              </w:rPr>
            </w:pPr>
            <w:r>
              <w:rPr>
                <w:rFonts w:hint="eastAsia" w:ascii="宋体" w:hAnsi="宋体" w:cs="宋体"/>
                <w:color w:val="000000"/>
                <w:kern w:val="0"/>
              </w:rPr>
              <w:t>法庭公告屏</w:t>
            </w:r>
          </w:p>
        </w:tc>
        <w:tc>
          <w:tcPr>
            <w:tcW w:w="5669" w:type="dxa"/>
            <w:shd w:val="clear" w:color="auto" w:fill="auto"/>
            <w:noWrap w:val="0"/>
            <w:vAlign w:val="center"/>
          </w:tcPr>
          <w:p>
            <w:pPr>
              <w:autoSpaceDN w:val="0"/>
              <w:spacing w:line="360" w:lineRule="atLeast"/>
              <w:ind w:firstLine="420" w:firstLineChars="200"/>
              <w:jc w:val="left"/>
              <w:textAlignment w:val="center"/>
              <w:rPr>
                <w:rFonts w:ascii="宋体" w:hAnsi="宋体"/>
                <w:color w:val="000000"/>
                <w:sz w:val="24"/>
                <w:szCs w:val="24"/>
              </w:rPr>
            </w:pPr>
            <w:r>
              <w:rPr>
                <w:rFonts w:hint="eastAsia" w:ascii="宋体" w:hAnsi="宋体" w:cs="宋体"/>
                <w:color w:val="000000"/>
                <w:kern w:val="0"/>
              </w:rPr>
              <w:t>屏幕尺寸:23"透光率:≥80% 分辨率:1920× 1080亮度:400cd/m2（Typ）对比度:700:1四核CPU、2GB内存，32G固态硬盘、集成声卡、板载千兆网卡、提供无线网卡支持、2×USB2.0</w:t>
            </w:r>
          </w:p>
        </w:tc>
        <w:tc>
          <w:tcPr>
            <w:tcW w:w="616" w:type="dxa"/>
            <w:shd w:val="clear" w:color="auto" w:fill="auto"/>
            <w:noWrap w:val="0"/>
            <w:vAlign w:val="center"/>
          </w:tcPr>
          <w:p>
            <w:pPr>
              <w:autoSpaceDN w:val="0"/>
              <w:jc w:val="center"/>
              <w:textAlignment w:val="center"/>
              <w:rPr>
                <w:rFonts w:hint="eastAsia" w:ascii="宋体" w:hAnsi="宋体"/>
                <w:color w:val="000000"/>
                <w:sz w:val="24"/>
                <w:szCs w:val="24"/>
              </w:rPr>
            </w:pPr>
            <w:r>
              <w:rPr>
                <w:rFonts w:hint="eastAsia" w:ascii="宋体" w:hAnsi="宋体"/>
                <w:color w:val="000000"/>
                <w:sz w:val="24"/>
                <w:szCs w:val="24"/>
              </w:rPr>
              <w:t>台</w:t>
            </w:r>
          </w:p>
        </w:tc>
        <w:tc>
          <w:tcPr>
            <w:tcW w:w="588" w:type="dxa"/>
            <w:shd w:val="clear" w:color="auto" w:fill="auto"/>
            <w:noWrap w:val="0"/>
            <w:vAlign w:val="center"/>
          </w:tcPr>
          <w:p>
            <w:pPr>
              <w:autoSpaceDN w:val="0"/>
              <w:jc w:val="center"/>
              <w:textAlignment w:val="center"/>
              <w:rPr>
                <w:rFonts w:hint="eastAsia" w:ascii="宋体" w:hAnsi="宋体"/>
                <w:color w:val="000000"/>
                <w:sz w:val="24"/>
                <w:szCs w:val="24"/>
              </w:rPr>
            </w:pPr>
            <w:r>
              <w:rPr>
                <w:rFonts w:hint="eastAsia" w:ascii="宋体" w:hAnsi="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60" w:type="dxa"/>
            <w:shd w:val="clear" w:color="auto" w:fill="auto"/>
            <w:noWrap w:val="0"/>
            <w:vAlign w:val="center"/>
          </w:tcPr>
          <w:p>
            <w:pPr>
              <w:autoSpaceDN w:val="0"/>
              <w:jc w:val="center"/>
              <w:textAlignment w:val="center"/>
              <w:rPr>
                <w:rFonts w:hint="eastAsia" w:ascii="宋体" w:hAnsi="宋体"/>
                <w:color w:val="000000"/>
                <w:sz w:val="24"/>
                <w:szCs w:val="24"/>
              </w:rPr>
            </w:pPr>
            <w:r>
              <w:rPr>
                <w:rFonts w:hint="eastAsia" w:ascii="宋体" w:hAnsi="宋体"/>
                <w:color w:val="000000"/>
                <w:sz w:val="24"/>
                <w:szCs w:val="24"/>
              </w:rPr>
              <w:t>6</w:t>
            </w:r>
          </w:p>
        </w:tc>
        <w:tc>
          <w:tcPr>
            <w:tcW w:w="1302" w:type="dxa"/>
            <w:shd w:val="clear" w:color="auto" w:fill="auto"/>
            <w:noWrap w:val="0"/>
            <w:vAlign w:val="center"/>
          </w:tcPr>
          <w:p>
            <w:pPr>
              <w:autoSpaceDN w:val="0"/>
              <w:jc w:val="center"/>
              <w:textAlignment w:val="center"/>
              <w:rPr>
                <w:rFonts w:ascii="宋体" w:hAnsi="宋体"/>
                <w:color w:val="000000"/>
              </w:rPr>
            </w:pPr>
            <w:r>
              <w:rPr>
                <w:rFonts w:hint="eastAsia" w:ascii="宋体" w:hAnsi="宋体" w:cs="宋体"/>
                <w:color w:val="000000"/>
                <w:kern w:val="0"/>
              </w:rPr>
              <w:t>笔录显示器</w:t>
            </w:r>
          </w:p>
        </w:tc>
        <w:tc>
          <w:tcPr>
            <w:tcW w:w="5669" w:type="dxa"/>
            <w:shd w:val="clear" w:color="auto" w:fill="auto"/>
            <w:noWrap w:val="0"/>
            <w:vAlign w:val="center"/>
          </w:tcPr>
          <w:p>
            <w:pPr>
              <w:autoSpaceDN w:val="0"/>
              <w:spacing w:line="360" w:lineRule="atLeast"/>
              <w:ind w:firstLine="420" w:firstLineChars="200"/>
              <w:jc w:val="left"/>
              <w:textAlignment w:val="center"/>
              <w:rPr>
                <w:rFonts w:ascii="宋体" w:hAnsi="宋体"/>
                <w:color w:val="000000"/>
              </w:rPr>
            </w:pPr>
            <w:r>
              <w:rPr>
                <w:rFonts w:hint="eastAsia" w:ascii="宋体" w:hAnsi="宋体" w:cs="宋体"/>
                <w:color w:val="000000"/>
                <w:kern w:val="0"/>
              </w:rPr>
              <w:t>尺寸：23.8英寸显示亮度：250cd/m2对比度：3000:1色数：16.7M规格重量：4.84kg产品尺寸（mm）：200.0 x 402.7 539.5壁挂规格：100x100mmVGA：1个音频/耳机输出：1个HDMI：1个</w:t>
            </w:r>
          </w:p>
        </w:tc>
        <w:tc>
          <w:tcPr>
            <w:tcW w:w="616" w:type="dxa"/>
            <w:shd w:val="clear" w:color="auto" w:fill="auto"/>
            <w:noWrap w:val="0"/>
            <w:vAlign w:val="center"/>
          </w:tcPr>
          <w:p>
            <w:pPr>
              <w:autoSpaceDN w:val="0"/>
              <w:jc w:val="center"/>
              <w:textAlignment w:val="center"/>
              <w:rPr>
                <w:rFonts w:hint="eastAsia" w:ascii="宋体" w:hAnsi="宋体"/>
                <w:color w:val="000000"/>
              </w:rPr>
            </w:pPr>
            <w:r>
              <w:rPr>
                <w:rFonts w:hint="eastAsia" w:ascii="宋体" w:hAnsi="宋体"/>
                <w:color w:val="000000"/>
              </w:rPr>
              <w:t>台</w:t>
            </w:r>
          </w:p>
        </w:tc>
        <w:tc>
          <w:tcPr>
            <w:tcW w:w="588" w:type="dxa"/>
            <w:shd w:val="clear" w:color="auto" w:fill="auto"/>
            <w:noWrap w:val="0"/>
            <w:vAlign w:val="center"/>
          </w:tcPr>
          <w:p>
            <w:pPr>
              <w:autoSpaceDN w:val="0"/>
              <w:jc w:val="center"/>
              <w:textAlignment w:val="center"/>
              <w:rPr>
                <w:rFonts w:hint="eastAsia" w:ascii="宋体" w:hAnsi="宋体"/>
                <w:color w:val="000000"/>
              </w:rPr>
            </w:pPr>
            <w:r>
              <w:rPr>
                <w:rFonts w:hint="eastAsia" w:ascii="宋体" w:hAnsi="宋体"/>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60" w:type="dxa"/>
            <w:shd w:val="clear" w:color="auto" w:fill="auto"/>
            <w:noWrap w:val="0"/>
            <w:vAlign w:val="center"/>
          </w:tcPr>
          <w:p>
            <w:pPr>
              <w:autoSpaceDN w:val="0"/>
              <w:jc w:val="center"/>
              <w:textAlignment w:val="center"/>
              <w:rPr>
                <w:rFonts w:hint="eastAsia" w:ascii="宋体" w:hAnsi="宋体"/>
                <w:color w:val="000000"/>
                <w:sz w:val="24"/>
                <w:szCs w:val="24"/>
              </w:rPr>
            </w:pPr>
            <w:r>
              <w:rPr>
                <w:rFonts w:hint="eastAsia" w:ascii="宋体" w:hAnsi="宋体"/>
                <w:color w:val="000000"/>
                <w:sz w:val="24"/>
                <w:szCs w:val="24"/>
              </w:rPr>
              <w:t>7</w:t>
            </w:r>
          </w:p>
        </w:tc>
        <w:tc>
          <w:tcPr>
            <w:tcW w:w="1302" w:type="dxa"/>
            <w:shd w:val="clear" w:color="auto" w:fill="auto"/>
            <w:noWrap w:val="0"/>
            <w:vAlign w:val="center"/>
          </w:tcPr>
          <w:p>
            <w:pPr>
              <w:autoSpaceDN w:val="0"/>
              <w:jc w:val="center"/>
              <w:textAlignment w:val="center"/>
              <w:rPr>
                <w:rFonts w:ascii="宋体" w:hAnsi="宋体"/>
                <w:color w:val="000000"/>
              </w:rPr>
            </w:pPr>
            <w:r>
              <w:rPr>
                <w:rFonts w:hint="eastAsia" w:ascii="宋体" w:hAnsi="宋体" w:cs="宋体"/>
                <w:color w:val="000000"/>
                <w:kern w:val="0"/>
              </w:rPr>
              <w:t>显示器支架</w:t>
            </w:r>
          </w:p>
        </w:tc>
        <w:tc>
          <w:tcPr>
            <w:tcW w:w="5669" w:type="dxa"/>
            <w:shd w:val="clear" w:color="auto" w:fill="auto"/>
            <w:noWrap w:val="0"/>
            <w:vAlign w:val="center"/>
          </w:tcPr>
          <w:p>
            <w:pPr>
              <w:autoSpaceDN w:val="0"/>
              <w:spacing w:line="360" w:lineRule="atLeast"/>
              <w:ind w:firstLine="420" w:firstLineChars="200"/>
              <w:jc w:val="left"/>
              <w:textAlignment w:val="center"/>
              <w:rPr>
                <w:rFonts w:hint="eastAsia" w:ascii="宋体" w:hAnsi="宋体"/>
                <w:color w:val="000000"/>
              </w:rPr>
            </w:pPr>
            <w:r>
              <w:rPr>
                <w:rFonts w:hint="eastAsia" w:ascii="宋体" w:hAnsi="宋体"/>
                <w:color w:val="000000"/>
              </w:rPr>
              <w:t>可120度调节角度。</w:t>
            </w:r>
          </w:p>
        </w:tc>
        <w:tc>
          <w:tcPr>
            <w:tcW w:w="616" w:type="dxa"/>
            <w:shd w:val="clear" w:color="auto" w:fill="auto"/>
            <w:noWrap w:val="0"/>
            <w:vAlign w:val="center"/>
          </w:tcPr>
          <w:p>
            <w:pPr>
              <w:autoSpaceDN w:val="0"/>
              <w:jc w:val="center"/>
              <w:textAlignment w:val="center"/>
              <w:rPr>
                <w:rFonts w:hint="eastAsia" w:ascii="宋体" w:hAnsi="宋体"/>
                <w:color w:val="000000"/>
              </w:rPr>
            </w:pPr>
            <w:r>
              <w:rPr>
                <w:rFonts w:hint="eastAsia" w:ascii="宋体" w:hAnsi="宋体"/>
                <w:color w:val="000000"/>
              </w:rPr>
              <w:t>台</w:t>
            </w:r>
          </w:p>
        </w:tc>
        <w:tc>
          <w:tcPr>
            <w:tcW w:w="588" w:type="dxa"/>
            <w:shd w:val="clear" w:color="auto" w:fill="auto"/>
            <w:noWrap w:val="0"/>
            <w:vAlign w:val="center"/>
          </w:tcPr>
          <w:p>
            <w:pPr>
              <w:autoSpaceDN w:val="0"/>
              <w:jc w:val="center"/>
              <w:textAlignment w:val="center"/>
              <w:rPr>
                <w:rFonts w:hint="eastAsia" w:ascii="宋体" w:hAnsi="宋体"/>
                <w:color w:val="000000"/>
              </w:rPr>
            </w:pPr>
            <w:r>
              <w:rPr>
                <w:rFonts w:hint="eastAsia" w:ascii="宋体" w:hAnsi="宋体"/>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60" w:type="dxa"/>
            <w:shd w:val="clear" w:color="auto" w:fill="auto"/>
            <w:noWrap w:val="0"/>
            <w:vAlign w:val="center"/>
          </w:tcPr>
          <w:p>
            <w:pPr>
              <w:autoSpaceDN w:val="0"/>
              <w:jc w:val="center"/>
              <w:textAlignment w:val="center"/>
              <w:rPr>
                <w:rFonts w:hint="eastAsia" w:ascii="宋体" w:hAnsi="宋体"/>
                <w:color w:val="000000"/>
                <w:sz w:val="24"/>
                <w:szCs w:val="24"/>
              </w:rPr>
            </w:pPr>
            <w:r>
              <w:rPr>
                <w:rFonts w:hint="eastAsia" w:ascii="宋体" w:hAnsi="宋体"/>
                <w:color w:val="000000"/>
                <w:sz w:val="24"/>
                <w:szCs w:val="24"/>
              </w:rPr>
              <w:t>8</w:t>
            </w:r>
          </w:p>
        </w:tc>
        <w:tc>
          <w:tcPr>
            <w:tcW w:w="1302" w:type="dxa"/>
            <w:shd w:val="clear" w:color="auto" w:fill="auto"/>
            <w:noWrap w:val="0"/>
            <w:vAlign w:val="center"/>
          </w:tcPr>
          <w:p>
            <w:pPr>
              <w:autoSpaceDN w:val="0"/>
              <w:jc w:val="center"/>
              <w:textAlignment w:val="center"/>
              <w:rPr>
                <w:rFonts w:hint="eastAsia" w:ascii="宋体" w:hAnsi="宋体" w:cs="宋体"/>
                <w:color w:val="000000"/>
                <w:kern w:val="0"/>
              </w:rPr>
            </w:pPr>
            <w:r>
              <w:rPr>
                <w:rFonts w:hint="eastAsia" w:ascii="宋体" w:hAnsi="宋体" w:cs="宋体"/>
                <w:color w:val="000000"/>
                <w:kern w:val="0"/>
              </w:rPr>
              <w:t>辅材</w:t>
            </w:r>
          </w:p>
        </w:tc>
        <w:tc>
          <w:tcPr>
            <w:tcW w:w="5669" w:type="dxa"/>
            <w:shd w:val="clear" w:color="auto" w:fill="auto"/>
            <w:noWrap w:val="0"/>
            <w:vAlign w:val="center"/>
          </w:tcPr>
          <w:p>
            <w:pPr>
              <w:autoSpaceDN w:val="0"/>
              <w:spacing w:line="360" w:lineRule="atLeast"/>
              <w:ind w:firstLine="420" w:firstLineChars="200"/>
              <w:jc w:val="left"/>
              <w:textAlignment w:val="center"/>
              <w:rPr>
                <w:rFonts w:hint="eastAsia" w:ascii="宋体" w:hAnsi="宋体"/>
                <w:color w:val="000000"/>
              </w:rPr>
            </w:pPr>
            <w:r>
              <w:rPr>
                <w:rFonts w:hint="eastAsia" w:ascii="宋体" w:hAnsi="宋体"/>
                <w:color w:val="000000"/>
              </w:rPr>
              <w:t>高清H</w:t>
            </w:r>
            <w:r>
              <w:rPr>
                <w:rFonts w:ascii="宋体" w:hAnsi="宋体"/>
                <w:color w:val="000000"/>
              </w:rPr>
              <w:t>DMI</w:t>
            </w:r>
            <w:r>
              <w:rPr>
                <w:rFonts w:hint="eastAsia" w:ascii="宋体" w:hAnsi="宋体"/>
                <w:color w:val="000000"/>
              </w:rPr>
              <w:t>线、卡侬头、音频线、等</w:t>
            </w:r>
          </w:p>
        </w:tc>
        <w:tc>
          <w:tcPr>
            <w:tcW w:w="616" w:type="dxa"/>
            <w:shd w:val="clear" w:color="auto" w:fill="auto"/>
            <w:noWrap w:val="0"/>
            <w:vAlign w:val="center"/>
          </w:tcPr>
          <w:p>
            <w:pPr>
              <w:autoSpaceDN w:val="0"/>
              <w:jc w:val="center"/>
              <w:textAlignment w:val="center"/>
              <w:rPr>
                <w:rFonts w:hint="eastAsia" w:ascii="宋体" w:hAnsi="宋体"/>
                <w:color w:val="000000"/>
              </w:rPr>
            </w:pPr>
            <w:r>
              <w:rPr>
                <w:rFonts w:hint="eastAsia" w:ascii="宋体" w:hAnsi="宋体"/>
                <w:color w:val="000000"/>
              </w:rPr>
              <w:t>套</w:t>
            </w:r>
          </w:p>
        </w:tc>
        <w:tc>
          <w:tcPr>
            <w:tcW w:w="588" w:type="dxa"/>
            <w:shd w:val="clear" w:color="auto" w:fill="auto"/>
            <w:noWrap w:val="0"/>
            <w:vAlign w:val="center"/>
          </w:tcPr>
          <w:p>
            <w:pPr>
              <w:autoSpaceDN w:val="0"/>
              <w:jc w:val="center"/>
              <w:textAlignment w:val="center"/>
              <w:rPr>
                <w:rFonts w:hint="eastAsia" w:ascii="宋体" w:hAnsi="宋体"/>
                <w:color w:val="000000"/>
              </w:rPr>
            </w:pPr>
            <w:r>
              <w:rPr>
                <w:rFonts w:hint="eastAsia" w:ascii="宋体" w:hAnsi="宋体"/>
                <w:color w:val="000000"/>
              </w:rPr>
              <w:t>1</w:t>
            </w:r>
          </w:p>
        </w:tc>
      </w:tr>
    </w:tbl>
    <w:p>
      <w:pPr>
        <w:spacing w:line="360" w:lineRule="auto"/>
        <w:rPr>
          <w:rFonts w:hint="eastAsia" w:ascii="宋体" w:hAnsi="宋体"/>
          <w:color w:val="000000"/>
          <w:sz w:val="24"/>
          <w:szCs w:val="24"/>
        </w:rPr>
      </w:pPr>
    </w:p>
    <w:p>
      <w:pPr>
        <w:spacing w:line="360" w:lineRule="auto"/>
        <w:rPr>
          <w:rFonts w:hint="eastAsia" w:ascii="黑体" w:hAnsi="黑体" w:eastAsia="黑体"/>
          <w:color w:val="000000"/>
          <w:sz w:val="28"/>
          <w:szCs w:val="28"/>
        </w:rPr>
      </w:pPr>
      <w:r>
        <w:rPr>
          <w:rFonts w:hint="eastAsia" w:ascii="黑体" w:hAnsi="黑体" w:eastAsia="黑体"/>
          <w:color w:val="000000"/>
          <w:sz w:val="28"/>
          <w:szCs w:val="28"/>
        </w:rPr>
        <w:t>备注：</w:t>
      </w:r>
    </w:p>
    <w:p>
      <w:pPr>
        <w:spacing w:line="360" w:lineRule="auto"/>
        <w:rPr>
          <w:rFonts w:hint="eastAsia" w:ascii="宋体" w:hAnsi="宋体"/>
          <w:b/>
          <w:color w:val="000000"/>
          <w:sz w:val="24"/>
          <w:szCs w:val="24"/>
        </w:rPr>
      </w:pPr>
      <w:r>
        <w:rPr>
          <w:rFonts w:hint="eastAsia" w:ascii="宋体" w:hAnsi="宋体"/>
          <w:b/>
          <w:color w:val="000000"/>
          <w:sz w:val="24"/>
          <w:szCs w:val="24"/>
        </w:rPr>
        <w:t>1、本次报价包含上门安装调试费。</w:t>
      </w:r>
    </w:p>
    <w:p>
      <w:pPr>
        <w:spacing w:line="360" w:lineRule="auto"/>
        <w:ind w:left="361" w:hanging="360" w:hangingChars="150"/>
        <w:rPr>
          <w:rFonts w:hint="eastAsia" w:ascii="宋体" w:hAnsi="宋体"/>
          <w:b/>
          <w:color w:val="000000"/>
          <w:sz w:val="24"/>
          <w:szCs w:val="24"/>
        </w:rPr>
      </w:pPr>
      <w:bookmarkStart w:id="1" w:name="_Toc78604591"/>
      <w:bookmarkStart w:id="2" w:name="_Toc113157419"/>
      <w:r>
        <w:rPr>
          <w:rFonts w:hint="eastAsia" w:ascii="宋体" w:hAnsi="宋体"/>
          <w:b/>
          <w:color w:val="000000"/>
          <w:sz w:val="24"/>
          <w:szCs w:val="24"/>
        </w:rPr>
        <w:t>2、★本次投标产品必须无缝接入江门市蓬江区人民法院科技法庭庭审系统和后台服务器平台，涉及系统对接的所有费用包含在本次投标报价中。</w:t>
      </w:r>
    </w:p>
    <w:p>
      <w:pPr>
        <w:pStyle w:val="3"/>
        <w:numPr>
          <w:ilvl w:val="0"/>
          <w:numId w:val="0"/>
        </w:numPr>
        <w:ind w:leftChars="0"/>
        <w:jc w:val="left"/>
        <w:rPr>
          <w:rFonts w:hint="eastAsia"/>
          <w:color w:val="000000"/>
        </w:rPr>
      </w:pPr>
      <w:r>
        <w:br w:type="page"/>
      </w:r>
      <w:bookmarkStart w:id="3" w:name="_Toc43311387"/>
      <w:bookmarkStart w:id="4" w:name="_Toc159385044"/>
      <w:r>
        <w:rPr>
          <w:rFonts w:hint="eastAsia"/>
          <w:lang w:val="en-US" w:eastAsia="zh-CN"/>
        </w:rPr>
        <w:t xml:space="preserve">   </w:t>
      </w:r>
      <w:r>
        <w:rPr>
          <w:rFonts w:hint="eastAsia" w:ascii="宋体" w:hAnsi="宋体" w:eastAsia="宋体" w:cs="Helvetica"/>
          <w:b/>
          <w:bCs/>
          <w:color w:val="222222"/>
          <w:kern w:val="0"/>
          <w:sz w:val="24"/>
          <w:szCs w:val="24"/>
          <w:lang w:val="en-US" w:eastAsia="zh-CN" w:bidi="ar-SA"/>
        </w:rPr>
        <w:t>四、采购项目商务要求</w:t>
      </w:r>
      <w:bookmarkEnd w:id="1"/>
      <w:bookmarkEnd w:id="2"/>
      <w:bookmarkEnd w:id="3"/>
      <w:bookmarkEnd w:id="4"/>
    </w:p>
    <w:p>
      <w:pPr>
        <w:numPr>
          <w:ilvl w:val="0"/>
          <w:numId w:val="0"/>
        </w:numPr>
        <w:spacing w:line="360" w:lineRule="auto"/>
        <w:ind w:leftChars="0"/>
        <w:jc w:val="left"/>
        <w:rPr>
          <w:rFonts w:hint="eastAsia"/>
          <w:bCs/>
          <w:color w:val="000000"/>
          <w:sz w:val="24"/>
        </w:rPr>
      </w:pPr>
      <w:r>
        <w:rPr>
          <w:rFonts w:hint="eastAsia"/>
          <w:b/>
          <w:color w:val="000000"/>
          <w:sz w:val="24"/>
          <w:lang w:val="en-US" w:eastAsia="zh-CN"/>
        </w:rPr>
        <w:t>4.1</w:t>
      </w:r>
      <w:r>
        <w:rPr>
          <w:rFonts w:hint="eastAsia"/>
          <w:b/>
          <w:color w:val="000000"/>
          <w:sz w:val="24"/>
        </w:rPr>
        <w:t>供货渠道：</w:t>
      </w:r>
      <w:r>
        <w:rPr>
          <w:rFonts w:hint="eastAsia"/>
          <w:color w:val="000000"/>
          <w:sz w:val="24"/>
        </w:rPr>
        <w:t>所有产品均由制造商或其授权的分销机构所提供，具有合法透明的供货渠道，报价人及制造商须提供其产品品质和一切售后服务保障。</w:t>
      </w:r>
    </w:p>
    <w:p>
      <w:pPr>
        <w:numPr>
          <w:ilvl w:val="0"/>
          <w:numId w:val="0"/>
        </w:numPr>
        <w:spacing w:line="360" w:lineRule="auto"/>
        <w:ind w:leftChars="0"/>
        <w:rPr>
          <w:rFonts w:hint="eastAsia"/>
          <w:b/>
          <w:bCs/>
          <w:color w:val="000000"/>
          <w:sz w:val="24"/>
        </w:rPr>
      </w:pPr>
      <w:r>
        <w:rPr>
          <w:rFonts w:hint="eastAsia"/>
          <w:b/>
          <w:bCs/>
          <w:color w:val="000000"/>
          <w:sz w:val="24"/>
          <w:lang w:val="en-US" w:eastAsia="zh-CN"/>
        </w:rPr>
        <w:t>4.2</w:t>
      </w:r>
      <w:r>
        <w:rPr>
          <w:rFonts w:hint="eastAsia"/>
          <w:b/>
          <w:bCs/>
          <w:color w:val="000000"/>
          <w:sz w:val="24"/>
        </w:rPr>
        <w:t>项目控制金额上限：</w:t>
      </w:r>
      <w:r>
        <w:rPr>
          <w:rFonts w:hint="eastAsia" w:ascii="宋体" w:hAnsi="宋体"/>
          <w:b/>
          <w:bCs/>
          <w:color w:val="000000"/>
          <w:sz w:val="24"/>
        </w:rPr>
        <w:t>人民币</w:t>
      </w:r>
      <w:r>
        <w:rPr>
          <w:rFonts w:hint="eastAsia" w:ascii="宋体" w:hAnsi="宋体"/>
          <w:bCs/>
          <w:color w:val="000000"/>
          <w:sz w:val="24"/>
          <w:u w:val="single"/>
        </w:rPr>
        <w:t>250000.00元</w:t>
      </w:r>
      <w:r>
        <w:rPr>
          <w:rFonts w:hint="eastAsia" w:ascii="宋体" w:hAnsi="宋体"/>
          <w:b/>
          <w:bCs/>
          <w:color w:val="000000"/>
          <w:sz w:val="24"/>
        </w:rPr>
        <w:t>；</w:t>
      </w:r>
    </w:p>
    <w:p>
      <w:pPr>
        <w:numPr>
          <w:ilvl w:val="0"/>
          <w:numId w:val="0"/>
        </w:numPr>
        <w:spacing w:line="360" w:lineRule="auto"/>
        <w:ind w:leftChars="0"/>
        <w:rPr>
          <w:rFonts w:hint="eastAsia"/>
          <w:bCs/>
          <w:color w:val="000000"/>
          <w:sz w:val="24"/>
        </w:rPr>
      </w:pPr>
      <w:r>
        <w:rPr>
          <w:rFonts w:hint="eastAsia"/>
          <w:b/>
          <w:color w:val="000000"/>
          <w:sz w:val="24"/>
          <w:lang w:val="en-US" w:eastAsia="zh-CN"/>
        </w:rPr>
        <w:t>4.3</w:t>
      </w:r>
      <w:r>
        <w:rPr>
          <w:rFonts w:hint="eastAsia"/>
          <w:b/>
          <w:color w:val="000000"/>
          <w:sz w:val="24"/>
        </w:rPr>
        <w:t>报价要求：</w:t>
      </w:r>
      <w:r>
        <w:rPr>
          <w:rFonts w:hint="eastAsia"/>
          <w:color w:val="000000"/>
          <w:sz w:val="24"/>
        </w:rPr>
        <w:t>本项目合同采用固定总价承包方式，由中标人包造价、质量、工期、安全、文明施工。中标人应依照工程量，结合现场施工条件、工期、文明施工、工程质量、安全及招标文件等要求进行设计和报价。施工现场所有临时设施（如施工工棚、施工排水、施工通道、交通安全维护设施、物品仓库等）以及影响施工的各类障碍所发生的费用都被认为包含在投标报价中。投标人应考虑并承担一定的风险，如物价、气候、水文等情况的变化及其他意外困难等。施工过程中招标人提出的变更中标人必须无条件服从，且工期不得延长。</w:t>
      </w:r>
    </w:p>
    <w:p>
      <w:pPr>
        <w:numPr>
          <w:ilvl w:val="0"/>
          <w:numId w:val="0"/>
        </w:numPr>
        <w:spacing w:line="360" w:lineRule="auto"/>
        <w:ind w:leftChars="0"/>
        <w:rPr>
          <w:rFonts w:hint="eastAsia"/>
          <w:bCs/>
          <w:color w:val="000000"/>
          <w:sz w:val="24"/>
        </w:rPr>
      </w:pPr>
      <w:r>
        <w:rPr>
          <w:rFonts w:hint="eastAsia"/>
          <w:b/>
          <w:color w:val="000000"/>
          <w:sz w:val="24"/>
          <w:lang w:val="en-US" w:eastAsia="zh-CN"/>
        </w:rPr>
        <w:t>4.4</w:t>
      </w:r>
      <w:r>
        <w:rPr>
          <w:rFonts w:hint="eastAsia"/>
          <w:b/>
          <w:color w:val="000000"/>
          <w:sz w:val="24"/>
        </w:rPr>
        <w:t>交货及安装地点：</w:t>
      </w:r>
      <w:r>
        <w:rPr>
          <w:rFonts w:hint="eastAsia"/>
          <w:color w:val="000000"/>
          <w:sz w:val="24"/>
          <w:u w:val="single"/>
        </w:rPr>
        <w:t xml:space="preserve">江门市蓬江区人民法院 </w:t>
      </w:r>
    </w:p>
    <w:p>
      <w:pPr>
        <w:numPr>
          <w:ilvl w:val="0"/>
          <w:numId w:val="0"/>
        </w:numPr>
        <w:spacing w:line="360" w:lineRule="auto"/>
        <w:ind w:leftChars="0"/>
        <w:rPr>
          <w:rFonts w:hint="eastAsia"/>
          <w:bCs/>
          <w:color w:val="000000"/>
          <w:sz w:val="24"/>
        </w:rPr>
      </w:pPr>
      <w:r>
        <w:rPr>
          <w:rFonts w:hint="eastAsia"/>
          <w:b/>
          <w:color w:val="000000"/>
          <w:sz w:val="24"/>
          <w:lang w:val="en-US" w:eastAsia="zh-CN"/>
        </w:rPr>
        <w:t>4.5</w:t>
      </w:r>
      <w:r>
        <w:rPr>
          <w:rFonts w:hint="eastAsia"/>
          <w:b/>
          <w:color w:val="000000"/>
          <w:sz w:val="24"/>
        </w:rPr>
        <w:t>项目完工期：</w:t>
      </w:r>
      <w:r>
        <w:rPr>
          <w:rFonts w:hint="eastAsia"/>
          <w:bCs/>
          <w:color w:val="000000"/>
          <w:sz w:val="24"/>
        </w:rPr>
        <w:t>合同生效后</w:t>
      </w:r>
      <w:r>
        <w:rPr>
          <w:rFonts w:hint="eastAsia"/>
          <w:bCs/>
          <w:color w:val="000000"/>
          <w:sz w:val="24"/>
          <w:szCs w:val="24"/>
          <w:u w:val="single"/>
        </w:rPr>
        <w:t>30个</w:t>
      </w:r>
      <w:r>
        <w:rPr>
          <w:rFonts w:hint="eastAsia"/>
          <w:bCs/>
          <w:color w:val="000000"/>
          <w:sz w:val="24"/>
        </w:rPr>
        <w:t>工作日内安装完毕交付验收。</w:t>
      </w:r>
    </w:p>
    <w:p>
      <w:pPr>
        <w:numPr>
          <w:ilvl w:val="0"/>
          <w:numId w:val="0"/>
        </w:numPr>
        <w:spacing w:line="360" w:lineRule="auto"/>
        <w:ind w:leftChars="0"/>
        <w:rPr>
          <w:rFonts w:hint="eastAsia"/>
          <w:bCs/>
          <w:color w:val="000000"/>
          <w:sz w:val="24"/>
        </w:rPr>
      </w:pPr>
      <w:r>
        <w:rPr>
          <w:rFonts w:hint="eastAsia"/>
          <w:b/>
          <w:bCs/>
          <w:color w:val="000000"/>
          <w:sz w:val="24"/>
          <w:lang w:val="en-US" w:eastAsia="zh-CN"/>
        </w:rPr>
        <w:t>4.6</w:t>
      </w:r>
      <w:r>
        <w:rPr>
          <w:rFonts w:hint="eastAsia"/>
          <w:b/>
          <w:bCs/>
          <w:color w:val="000000"/>
          <w:sz w:val="24"/>
        </w:rPr>
        <w:t>质量保证期(质保期)：</w:t>
      </w:r>
    </w:p>
    <w:p>
      <w:pPr>
        <w:numPr>
          <w:ilvl w:val="0"/>
          <w:numId w:val="1"/>
        </w:numPr>
        <w:spacing w:line="360" w:lineRule="auto"/>
        <w:rPr>
          <w:rFonts w:hint="eastAsia"/>
          <w:bCs/>
          <w:color w:val="000000"/>
          <w:sz w:val="24"/>
        </w:rPr>
      </w:pPr>
      <w:r>
        <w:rPr>
          <w:rFonts w:hint="eastAsia"/>
          <w:color w:val="000000"/>
          <w:sz w:val="24"/>
        </w:rPr>
        <w:t>质量保修期（质保期）：整体工程质量保修期为</w:t>
      </w:r>
      <w:r>
        <w:rPr>
          <w:rFonts w:hint="eastAsia"/>
          <w:bCs/>
          <w:color w:val="000000"/>
          <w:sz w:val="24"/>
          <w:szCs w:val="24"/>
          <w:u w:val="single"/>
        </w:rPr>
        <w:t>1年</w:t>
      </w:r>
      <w:r>
        <w:rPr>
          <w:rFonts w:hint="eastAsia"/>
          <w:color w:val="000000"/>
          <w:sz w:val="24"/>
        </w:rPr>
        <w:t>，时间以竣工验收合格之日起算；</w:t>
      </w:r>
    </w:p>
    <w:p>
      <w:pPr>
        <w:numPr>
          <w:ilvl w:val="0"/>
          <w:numId w:val="1"/>
        </w:numPr>
        <w:spacing w:line="360" w:lineRule="auto"/>
        <w:rPr>
          <w:rFonts w:hint="eastAsia"/>
          <w:bCs/>
          <w:color w:val="000000"/>
          <w:sz w:val="24"/>
        </w:rPr>
      </w:pPr>
      <w:r>
        <w:rPr>
          <w:rFonts w:hint="eastAsia"/>
          <w:color w:val="000000"/>
          <w:sz w:val="24"/>
        </w:rPr>
        <w:t>质保期内，在非人为因素情况下，设备、产品及整体工程出现任何质量问题，由中标供应商负责及时处理和免费维护、维修，一切维修换件和备品备件（含所有零配件及耗材）均由中标供应商免费提供。如有人为造成损坏的，需要更换或修理的，中标供应商将收取修复成本费用。质保期内，如工程因非人为因素出现故障而造成短期停用时，则质保期相应延迟。质保期内采购人对中标供应商享有追索权。</w:t>
      </w:r>
    </w:p>
    <w:p>
      <w:pPr>
        <w:numPr>
          <w:ilvl w:val="0"/>
          <w:numId w:val="0"/>
        </w:numPr>
        <w:spacing w:line="360" w:lineRule="auto"/>
        <w:ind w:leftChars="0"/>
        <w:rPr>
          <w:rFonts w:hint="eastAsia"/>
          <w:bCs/>
          <w:color w:val="000000"/>
          <w:sz w:val="24"/>
        </w:rPr>
      </w:pPr>
      <w:r>
        <w:rPr>
          <w:rFonts w:hint="eastAsia"/>
          <w:b/>
          <w:color w:val="000000"/>
          <w:sz w:val="24"/>
          <w:lang w:val="en-US" w:eastAsia="zh-CN"/>
        </w:rPr>
        <w:t>4.7</w:t>
      </w:r>
      <w:r>
        <w:rPr>
          <w:rFonts w:hint="eastAsia"/>
          <w:b/>
          <w:color w:val="000000"/>
          <w:sz w:val="24"/>
        </w:rPr>
        <w:t>验收要求：</w:t>
      </w:r>
      <w:r>
        <w:rPr>
          <w:rFonts w:hint="eastAsia"/>
          <w:bCs/>
          <w:color w:val="000000"/>
          <w:sz w:val="24"/>
        </w:rPr>
        <w:t>中标供应商须为验收提供必需的一切条件及相关费用，中标供应商应保证合同工程品质规格完全符合合同要求，并满足国家对工程在质量和环保方面的要求，检验验收办法和标准按双方确认的样板为标准，并在工程施工完毕后的5个工作日内由中标供应商、采购人共同验收并出具验收报告。验收交付前的设备及施工材料在现场的安全保管责任由中标供应商承担。</w:t>
      </w:r>
    </w:p>
    <w:p>
      <w:pPr>
        <w:numPr>
          <w:ilvl w:val="0"/>
          <w:numId w:val="0"/>
        </w:numPr>
        <w:spacing w:line="360" w:lineRule="auto"/>
        <w:ind w:leftChars="0"/>
        <w:rPr>
          <w:rFonts w:hint="eastAsia"/>
          <w:bCs/>
          <w:color w:val="000000"/>
          <w:sz w:val="24"/>
        </w:rPr>
      </w:pPr>
      <w:r>
        <w:rPr>
          <w:rFonts w:hint="eastAsia"/>
          <w:b/>
          <w:bCs/>
          <w:color w:val="000000"/>
          <w:sz w:val="24"/>
          <w:lang w:val="en-US" w:eastAsia="zh-CN"/>
        </w:rPr>
        <w:t>4.8</w:t>
      </w:r>
      <w:r>
        <w:rPr>
          <w:rFonts w:hint="eastAsia"/>
          <w:b/>
          <w:bCs/>
          <w:color w:val="000000"/>
          <w:sz w:val="24"/>
        </w:rPr>
        <w:t>项目验收</w:t>
      </w:r>
      <w:r>
        <w:rPr>
          <w:rFonts w:hint="eastAsia"/>
          <w:b/>
          <w:bCs/>
          <w:color w:val="000000"/>
          <w:sz w:val="24"/>
          <w:lang w:val="en-GB"/>
        </w:rPr>
        <w:t>依次序对照执行标准：</w:t>
      </w:r>
    </w:p>
    <w:p>
      <w:pPr>
        <w:numPr>
          <w:ilvl w:val="0"/>
          <w:numId w:val="2"/>
        </w:numPr>
        <w:spacing w:line="360" w:lineRule="auto"/>
        <w:rPr>
          <w:rFonts w:hint="eastAsia"/>
          <w:color w:val="000000"/>
          <w:sz w:val="24"/>
        </w:rPr>
      </w:pPr>
      <w:r>
        <w:rPr>
          <w:rFonts w:hint="eastAsia"/>
          <w:color w:val="000000"/>
          <w:sz w:val="24"/>
        </w:rPr>
        <w:t>符合最新双方确认的施工方案；</w:t>
      </w:r>
    </w:p>
    <w:p>
      <w:pPr>
        <w:numPr>
          <w:ilvl w:val="0"/>
          <w:numId w:val="2"/>
        </w:numPr>
        <w:spacing w:line="360" w:lineRule="auto"/>
        <w:rPr>
          <w:rFonts w:hint="eastAsia"/>
          <w:color w:val="000000"/>
          <w:sz w:val="24"/>
        </w:rPr>
      </w:pPr>
      <w:r>
        <w:rPr>
          <w:rFonts w:hint="eastAsia"/>
          <w:color w:val="000000"/>
          <w:sz w:val="24"/>
        </w:rPr>
        <w:t>符合上级主管部门有关工程竣工的文件和规定；</w:t>
      </w:r>
    </w:p>
    <w:p>
      <w:pPr>
        <w:numPr>
          <w:ilvl w:val="0"/>
          <w:numId w:val="2"/>
        </w:numPr>
        <w:spacing w:line="360" w:lineRule="auto"/>
        <w:rPr>
          <w:rFonts w:hint="eastAsia"/>
          <w:color w:val="000000"/>
          <w:sz w:val="24"/>
        </w:rPr>
      </w:pPr>
      <w:r>
        <w:rPr>
          <w:rFonts w:hint="eastAsia"/>
          <w:color w:val="000000"/>
          <w:sz w:val="24"/>
        </w:rPr>
        <w:t>符合采购文件和响应承诺中各方共同认可的合理最佳配置、参数规格及各项要求；</w:t>
      </w:r>
    </w:p>
    <w:p>
      <w:pPr>
        <w:numPr>
          <w:ilvl w:val="0"/>
          <w:numId w:val="2"/>
        </w:numPr>
        <w:spacing w:line="360" w:lineRule="auto"/>
        <w:rPr>
          <w:rFonts w:hint="eastAsia"/>
          <w:color w:val="000000"/>
          <w:sz w:val="24"/>
        </w:rPr>
      </w:pPr>
      <w:r>
        <w:rPr>
          <w:rFonts w:hint="eastAsia"/>
          <w:color w:val="000000"/>
          <w:sz w:val="24"/>
        </w:rPr>
        <w:t>符合中华人民共和国国家和履约地相关安全质量标准、行业技术规范标准、环保节能标准；</w:t>
      </w:r>
    </w:p>
    <w:p>
      <w:pPr>
        <w:numPr>
          <w:ilvl w:val="0"/>
          <w:numId w:val="2"/>
        </w:numPr>
        <w:spacing w:line="360" w:lineRule="auto"/>
        <w:rPr>
          <w:rFonts w:hint="eastAsia"/>
          <w:color w:val="000000"/>
          <w:sz w:val="24"/>
        </w:rPr>
      </w:pPr>
      <w:r>
        <w:rPr>
          <w:rFonts w:hint="eastAsia"/>
          <w:color w:val="000000"/>
          <w:sz w:val="24"/>
        </w:rPr>
        <w:t>符合国家、省、市安全生产、文明施工管理相关规定，承诺达到合格标准。</w:t>
      </w:r>
    </w:p>
    <w:p>
      <w:pPr>
        <w:numPr>
          <w:ilvl w:val="0"/>
          <w:numId w:val="2"/>
        </w:numPr>
        <w:spacing w:line="360" w:lineRule="auto"/>
        <w:rPr>
          <w:rFonts w:hint="eastAsia"/>
          <w:color w:val="000000"/>
          <w:sz w:val="24"/>
        </w:rPr>
      </w:pPr>
      <w:r>
        <w:rPr>
          <w:rFonts w:hint="eastAsia"/>
          <w:color w:val="000000"/>
          <w:sz w:val="24"/>
        </w:rPr>
        <w:t>上述各类标准与法规必须是有关官方机构最新发布的现行标准版本。</w:t>
      </w:r>
    </w:p>
    <w:p>
      <w:pPr>
        <w:numPr>
          <w:ilvl w:val="0"/>
          <w:numId w:val="0"/>
        </w:numPr>
        <w:spacing w:line="360" w:lineRule="auto"/>
        <w:ind w:leftChars="0"/>
        <w:rPr>
          <w:rFonts w:hint="eastAsia"/>
          <w:b/>
          <w:bCs/>
          <w:color w:val="000000"/>
          <w:sz w:val="24"/>
        </w:rPr>
      </w:pPr>
      <w:r>
        <w:rPr>
          <w:rFonts w:hint="eastAsia"/>
          <w:b/>
          <w:bCs/>
          <w:color w:val="000000"/>
          <w:sz w:val="24"/>
          <w:lang w:val="en-US" w:eastAsia="zh-CN"/>
        </w:rPr>
        <w:t>4.9</w:t>
      </w:r>
      <w:r>
        <w:rPr>
          <w:rFonts w:hint="eastAsia"/>
          <w:b/>
          <w:bCs/>
          <w:color w:val="000000"/>
          <w:sz w:val="24"/>
        </w:rPr>
        <w:t>售后服务要</w:t>
      </w:r>
      <w:r>
        <w:rPr>
          <w:rFonts w:hint="eastAsia" w:ascii="宋体" w:hAnsi="宋体"/>
          <w:b/>
          <w:bCs/>
          <w:color w:val="000000"/>
          <w:sz w:val="24"/>
        </w:rPr>
        <w:t xml:space="preserve">求: </w:t>
      </w:r>
    </w:p>
    <w:p>
      <w:pPr>
        <w:numPr>
          <w:ilvl w:val="0"/>
          <w:numId w:val="3"/>
        </w:numPr>
        <w:spacing w:line="360" w:lineRule="auto"/>
        <w:rPr>
          <w:rFonts w:hint="eastAsia"/>
          <w:color w:val="000000"/>
          <w:sz w:val="24"/>
        </w:rPr>
      </w:pPr>
      <w:r>
        <w:rPr>
          <w:rFonts w:hint="eastAsia"/>
          <w:color w:val="000000"/>
          <w:sz w:val="24"/>
        </w:rPr>
        <w:t>须提供常设每周5个工作日×8小时热线服务和长期的免费技术支持。在广东省内设有</w:t>
      </w:r>
      <w:r>
        <w:rPr>
          <w:rFonts w:hint="eastAsia"/>
          <w:color w:val="000000"/>
          <w:sz w:val="24"/>
          <w:szCs w:val="18"/>
        </w:rPr>
        <w:t>售后服务营业性机构，</w:t>
      </w:r>
      <w:r>
        <w:rPr>
          <w:rFonts w:hint="eastAsia"/>
          <w:color w:val="000000"/>
          <w:sz w:val="24"/>
        </w:rPr>
        <w:t>对采购人的服务通知，这些机构</w:t>
      </w:r>
      <w:r>
        <w:rPr>
          <w:rFonts w:hint="eastAsia"/>
          <w:color w:val="000000"/>
          <w:sz w:val="24"/>
          <w:szCs w:val="18"/>
        </w:rPr>
        <w:t>在</w:t>
      </w:r>
      <w:bookmarkStart w:id="5" w:name="_Hlk43309535"/>
      <w:r>
        <w:rPr>
          <w:rFonts w:hint="eastAsia"/>
          <w:color w:val="000000"/>
          <w:sz w:val="24"/>
          <w:szCs w:val="18"/>
        </w:rPr>
        <w:t>接报后1小时内响应，5小时内到达现场，24小时内处理完毕。</w:t>
      </w:r>
    </w:p>
    <w:bookmarkEnd w:id="5"/>
    <w:p>
      <w:pPr>
        <w:widowControl/>
        <w:shd w:val="clear" w:color="auto" w:fill="FFFFFF"/>
        <w:spacing w:line="675" w:lineRule="atLeast"/>
        <w:ind w:firstLine="482"/>
        <w:jc w:val="left"/>
        <w:outlineLvl w:val="1"/>
        <w:rPr>
          <w:rFonts w:hint="eastAsia" w:ascii="宋体" w:hAnsi="宋体" w:eastAsia="宋体" w:cs="Helvetica"/>
          <w:b/>
          <w:bCs/>
          <w:color w:val="222222"/>
          <w:kern w:val="0"/>
          <w:sz w:val="24"/>
          <w:szCs w:val="24"/>
          <w:lang w:val="en-US" w:eastAsia="zh-CN"/>
        </w:rPr>
      </w:pPr>
      <w:r>
        <w:rPr>
          <w:rFonts w:hint="eastAsia" w:ascii="宋体" w:hAnsi="宋体" w:eastAsia="宋体" w:cs="Helvetica"/>
          <w:b/>
          <w:bCs/>
          <w:color w:val="222222"/>
          <w:kern w:val="0"/>
          <w:sz w:val="24"/>
          <w:szCs w:val="24"/>
          <w:lang w:val="en-US" w:eastAsia="zh-CN"/>
        </w:rPr>
        <w:t>五、付款方式：</w:t>
      </w:r>
    </w:p>
    <w:p>
      <w:pPr>
        <w:numPr>
          <w:ilvl w:val="2"/>
          <w:numId w:val="4"/>
        </w:numPr>
        <w:tabs>
          <w:tab w:val="left" w:pos="540"/>
        </w:tabs>
        <w:spacing w:line="360" w:lineRule="auto"/>
        <w:jc w:val="left"/>
        <w:rPr>
          <w:rFonts w:hint="eastAsia"/>
          <w:color w:val="000000"/>
          <w:sz w:val="24"/>
        </w:rPr>
      </w:pPr>
      <w:r>
        <w:rPr>
          <w:rFonts w:hint="eastAsia" w:ascii="宋体" w:hAnsi="宋体"/>
          <w:color w:val="000000"/>
          <w:sz w:val="24"/>
        </w:rPr>
        <w:t>本项目安装调试完毕和验收合格之日起15个工作日内，采购人将合同全部款项支付给中标供应商。</w:t>
      </w:r>
    </w:p>
    <w:p>
      <w:pPr>
        <w:autoSpaceDE w:val="0"/>
        <w:autoSpaceDN w:val="0"/>
        <w:ind w:left="240"/>
        <w:jc w:val="left"/>
        <w:rPr>
          <w:rFonts w:ascii="宋体" w:hAnsi="宋体" w:eastAsia="宋体" w:cs="宋体"/>
          <w:b/>
          <w:bCs/>
          <w:color w:val="222222"/>
          <w:kern w:val="0"/>
          <w:sz w:val="24"/>
          <w:szCs w:val="24"/>
        </w:rPr>
      </w:pPr>
    </w:p>
    <w:p>
      <w:pPr>
        <w:widowControl/>
        <w:shd w:val="clear" w:color="auto" w:fill="FFFFFF"/>
        <w:spacing w:line="675" w:lineRule="atLeast"/>
        <w:ind w:firstLine="482"/>
        <w:jc w:val="left"/>
        <w:outlineLvl w:val="1"/>
        <w:rPr>
          <w:rFonts w:hint="eastAsia" w:ascii="宋体" w:hAnsi="宋体" w:eastAsia="宋体" w:cs="Helvetica"/>
          <w:b/>
          <w:bCs/>
          <w:color w:val="222222"/>
          <w:kern w:val="0"/>
          <w:sz w:val="24"/>
          <w:szCs w:val="24"/>
        </w:rPr>
      </w:pPr>
      <w:r>
        <w:rPr>
          <w:rFonts w:hint="eastAsia" w:ascii="宋体" w:hAnsi="宋体" w:eastAsia="宋体" w:cs="Helvetica"/>
          <w:b/>
          <w:bCs/>
          <w:color w:val="222222"/>
          <w:kern w:val="0"/>
          <w:sz w:val="24"/>
          <w:szCs w:val="24"/>
          <w:lang w:eastAsia="zh-CN"/>
        </w:rPr>
        <w:t>六</w:t>
      </w:r>
      <w:r>
        <w:rPr>
          <w:rFonts w:hint="eastAsia" w:ascii="宋体" w:hAnsi="宋体" w:eastAsia="宋体" w:cs="Helvetica"/>
          <w:b/>
          <w:bCs/>
          <w:color w:val="222222"/>
          <w:kern w:val="0"/>
          <w:sz w:val="24"/>
          <w:szCs w:val="24"/>
        </w:rPr>
        <w:t>、评标</w:t>
      </w:r>
      <w:r>
        <w:rPr>
          <w:rFonts w:hint="eastAsia" w:ascii="宋体" w:hAnsi="宋体" w:eastAsia="宋体" w:cs="Helvetica"/>
          <w:b/>
          <w:bCs/>
          <w:color w:val="222222"/>
          <w:kern w:val="0"/>
          <w:sz w:val="24"/>
          <w:szCs w:val="24"/>
          <w:lang w:val="en-US" w:eastAsia="zh-CN"/>
        </w:rPr>
        <w:t>方法</w:t>
      </w:r>
    </w:p>
    <w:p>
      <w:pPr>
        <w:widowControl/>
        <w:shd w:val="clear" w:color="auto" w:fill="FFFFFF"/>
        <w:spacing w:line="315" w:lineRule="atLeast"/>
        <w:ind w:firstLine="460"/>
        <w:jc w:val="left"/>
        <w:rPr>
          <w:rFonts w:ascii="宋体" w:hAnsi="宋体" w:eastAsia="宋体" w:cs="宋体"/>
          <w:color w:val="333333"/>
          <w:kern w:val="0"/>
          <w:szCs w:val="21"/>
        </w:rPr>
      </w:pPr>
      <w:r>
        <w:rPr>
          <w:rFonts w:hint="eastAsia" w:ascii="宋体" w:hAnsi="宋体" w:eastAsia="宋体" w:cs="宋体"/>
          <w:color w:val="222222"/>
          <w:kern w:val="0"/>
          <w:sz w:val="24"/>
          <w:szCs w:val="24"/>
        </w:rPr>
        <w:t>在满足询价文件各项重要参数和基本要求前提下，按照质量、服务相等且有效报价合理最低者确定为成交人。</w:t>
      </w:r>
    </w:p>
    <w:p>
      <w:pPr>
        <w:widowControl/>
        <w:shd w:val="clear" w:color="auto" w:fill="FFFFFF"/>
        <w:spacing w:line="675" w:lineRule="atLeast"/>
        <w:ind w:firstLine="482"/>
        <w:jc w:val="left"/>
        <w:outlineLvl w:val="1"/>
        <w:rPr>
          <w:rFonts w:ascii="Helvetica" w:hAnsi="Helvetica" w:eastAsia="宋体" w:cs="Helvetica"/>
          <w:color w:val="333333"/>
          <w:kern w:val="0"/>
          <w:sz w:val="45"/>
          <w:szCs w:val="45"/>
        </w:rPr>
      </w:pPr>
      <w:r>
        <w:rPr>
          <w:rFonts w:hint="eastAsia" w:ascii="宋体" w:hAnsi="宋体" w:eastAsia="宋体" w:cs="Helvetica"/>
          <w:b/>
          <w:bCs/>
          <w:color w:val="222222"/>
          <w:kern w:val="0"/>
          <w:sz w:val="24"/>
          <w:szCs w:val="24"/>
          <w:lang w:eastAsia="zh-CN"/>
        </w:rPr>
        <w:t>七</w:t>
      </w:r>
      <w:r>
        <w:rPr>
          <w:rFonts w:hint="eastAsia" w:ascii="宋体" w:hAnsi="宋体" w:eastAsia="宋体" w:cs="Helvetica"/>
          <w:b/>
          <w:bCs/>
          <w:color w:val="222222"/>
          <w:kern w:val="0"/>
          <w:sz w:val="24"/>
          <w:szCs w:val="24"/>
        </w:rPr>
        <w:t>、询价文件递交时间和地点</w:t>
      </w:r>
    </w:p>
    <w:p>
      <w:pPr>
        <w:widowControl/>
        <w:shd w:val="clear" w:color="auto" w:fill="FFFFFF"/>
        <w:spacing w:line="315" w:lineRule="atLeast"/>
        <w:ind w:firstLine="460"/>
        <w:jc w:val="left"/>
        <w:rPr>
          <w:rFonts w:ascii="宋体" w:hAnsi="宋体" w:eastAsia="宋体" w:cs="宋体"/>
          <w:color w:val="333333"/>
          <w:kern w:val="0"/>
          <w:szCs w:val="21"/>
        </w:rPr>
      </w:pPr>
      <w:r>
        <w:rPr>
          <w:rFonts w:hint="eastAsia" w:ascii="宋体" w:hAnsi="宋体" w:eastAsia="宋体" w:cs="宋体"/>
          <w:color w:val="000000"/>
          <w:kern w:val="0"/>
          <w:sz w:val="24"/>
          <w:szCs w:val="24"/>
        </w:rPr>
        <w:t>递交报价文件截止时间：2020年6月23日9时30分（注：9时00分开始受理报价文件）</w:t>
      </w:r>
      <w:r>
        <w:rPr>
          <w:rFonts w:hint="eastAsia" w:ascii="宋体" w:hAnsi="宋体" w:eastAsia="宋体" w:cs="宋体"/>
          <w:color w:val="222222"/>
          <w:kern w:val="0"/>
          <w:sz w:val="24"/>
          <w:szCs w:val="24"/>
        </w:rPr>
        <w:t>；由报价人代表以密封包装当面递交至江门市蓬江区华园东路3号，江门市蓬江区人民法院办公楼大楼会议室。询价文件数量：</w:t>
      </w:r>
      <w:r>
        <w:rPr>
          <w:rFonts w:ascii="宋体" w:hAnsi="宋体" w:eastAsia="宋体" w:cs="宋体"/>
          <w:color w:val="222222"/>
          <w:kern w:val="0"/>
          <w:sz w:val="24"/>
          <w:szCs w:val="24"/>
        </w:rPr>
        <w:t>1</w:t>
      </w:r>
      <w:r>
        <w:rPr>
          <w:rFonts w:hint="eastAsia" w:ascii="宋体" w:hAnsi="宋体" w:eastAsia="宋体" w:cs="宋体"/>
          <w:color w:val="222222"/>
          <w:kern w:val="0"/>
          <w:sz w:val="24"/>
          <w:szCs w:val="24"/>
        </w:rPr>
        <w:t>份。每一份询价文件的密封袋两头封口上均需贴封条，封条上应注明“于2020年6月23日9：30时之前不准启封”的字样，并加盖骑缝章（公章）。</w:t>
      </w:r>
    </w:p>
    <w:p>
      <w:pPr>
        <w:widowControl/>
        <w:shd w:val="clear" w:color="auto" w:fill="FFFFFF"/>
        <w:spacing w:line="315" w:lineRule="atLeast"/>
        <w:ind w:firstLine="460"/>
        <w:jc w:val="left"/>
        <w:rPr>
          <w:rFonts w:ascii="宋体" w:hAnsi="宋体" w:eastAsia="宋体" w:cs="宋体"/>
          <w:color w:val="333333"/>
          <w:kern w:val="0"/>
          <w:szCs w:val="21"/>
        </w:rPr>
      </w:pPr>
      <w:r>
        <w:rPr>
          <w:rFonts w:hint="eastAsia" w:ascii="宋体" w:hAnsi="宋体" w:eastAsia="宋体" w:cs="宋体"/>
          <w:color w:val="222222"/>
          <w:kern w:val="0"/>
          <w:sz w:val="24"/>
          <w:szCs w:val="24"/>
        </w:rPr>
        <w:t>询价文件需由专人送交。询价人应按上述规定进行密封和标记后，将询价文件按照询价文件中注明的开标时间和地址送达。</w:t>
      </w:r>
    </w:p>
    <w:p>
      <w:pPr>
        <w:widowControl/>
        <w:shd w:val="clear" w:color="auto" w:fill="FFFFFF"/>
        <w:spacing w:line="315" w:lineRule="atLeast"/>
        <w:ind w:firstLine="460"/>
        <w:jc w:val="left"/>
        <w:rPr>
          <w:rFonts w:ascii="宋体" w:hAnsi="宋体" w:eastAsia="宋体" w:cs="宋体"/>
          <w:color w:val="222222"/>
          <w:kern w:val="0"/>
          <w:sz w:val="24"/>
          <w:szCs w:val="24"/>
        </w:rPr>
      </w:pPr>
      <w:r>
        <w:rPr>
          <w:rFonts w:hint="eastAsia" w:ascii="宋体" w:hAnsi="宋体" w:eastAsia="宋体" w:cs="宋体"/>
          <w:color w:val="222222"/>
          <w:kern w:val="0"/>
          <w:sz w:val="24"/>
          <w:szCs w:val="24"/>
        </w:rPr>
        <w:t>如果未按上述规定进行密封和标记，对投标文件的误投或提前拆封不负责，并将拒绝接收密封不完好的投标文件。</w:t>
      </w:r>
    </w:p>
    <w:p>
      <w:pPr>
        <w:widowControl/>
        <w:shd w:val="clear" w:color="auto" w:fill="FFFFFF"/>
        <w:spacing w:line="315" w:lineRule="atLeast"/>
        <w:ind w:firstLine="460"/>
        <w:jc w:val="left"/>
        <w:rPr>
          <w:rFonts w:ascii="宋体" w:hAnsi="宋体" w:eastAsia="宋体" w:cs="宋体"/>
          <w:color w:val="333333"/>
          <w:kern w:val="0"/>
          <w:szCs w:val="21"/>
        </w:rPr>
      </w:pPr>
    </w:p>
    <w:p>
      <w:pPr>
        <w:widowControl/>
        <w:shd w:val="clear" w:color="auto" w:fill="FFFFFF"/>
        <w:spacing w:line="315" w:lineRule="atLeast"/>
        <w:ind w:firstLine="463"/>
        <w:jc w:val="left"/>
        <w:rPr>
          <w:rFonts w:ascii="宋体" w:hAnsi="宋体" w:eastAsia="宋体" w:cs="宋体"/>
          <w:color w:val="333333"/>
          <w:kern w:val="0"/>
          <w:szCs w:val="21"/>
        </w:rPr>
      </w:pPr>
      <w:r>
        <w:rPr>
          <w:rFonts w:hint="eastAsia" w:ascii="宋体" w:hAnsi="宋体" w:eastAsia="宋体" w:cs="宋体"/>
          <w:b/>
          <w:bCs/>
          <w:color w:val="222222"/>
          <w:kern w:val="0"/>
          <w:sz w:val="24"/>
          <w:szCs w:val="24"/>
          <w:lang w:eastAsia="zh-CN"/>
        </w:rPr>
        <w:t>八</w:t>
      </w:r>
      <w:r>
        <w:rPr>
          <w:rFonts w:hint="eastAsia" w:ascii="宋体" w:hAnsi="宋体" w:eastAsia="宋体" w:cs="宋体"/>
          <w:b/>
          <w:bCs/>
          <w:color w:val="222222"/>
          <w:kern w:val="0"/>
          <w:sz w:val="24"/>
          <w:szCs w:val="24"/>
        </w:rPr>
        <w:t>、询价文件清单</w:t>
      </w:r>
    </w:p>
    <w:p>
      <w:pPr>
        <w:widowControl/>
        <w:shd w:val="clear" w:color="auto" w:fill="FFFFFF"/>
        <w:spacing w:line="315" w:lineRule="atLeast"/>
        <w:ind w:firstLine="480"/>
        <w:jc w:val="left"/>
        <w:rPr>
          <w:rFonts w:ascii="宋体" w:hAnsi="宋体" w:eastAsia="宋体" w:cs="宋体"/>
          <w:color w:val="333333"/>
          <w:kern w:val="0"/>
          <w:szCs w:val="21"/>
        </w:rPr>
      </w:pPr>
      <w:r>
        <w:rPr>
          <w:rFonts w:hint="eastAsia" w:ascii="宋体" w:hAnsi="宋体" w:eastAsia="宋体" w:cs="宋体"/>
          <w:color w:val="222222"/>
          <w:kern w:val="0"/>
          <w:sz w:val="24"/>
          <w:szCs w:val="24"/>
        </w:rPr>
        <w:t>询价文件中应包含下列</w:t>
      </w:r>
      <w:r>
        <w:rPr>
          <w:rFonts w:ascii="宋体" w:hAnsi="宋体" w:eastAsia="宋体" w:cs="宋体"/>
          <w:color w:val="222222"/>
          <w:kern w:val="0"/>
          <w:sz w:val="24"/>
          <w:szCs w:val="24"/>
        </w:rPr>
        <w:t>5</w:t>
      </w:r>
      <w:r>
        <w:rPr>
          <w:rFonts w:hint="eastAsia" w:ascii="宋体" w:hAnsi="宋体" w:eastAsia="宋体" w:cs="宋体"/>
          <w:color w:val="222222"/>
          <w:kern w:val="0"/>
          <w:sz w:val="24"/>
          <w:szCs w:val="24"/>
        </w:rPr>
        <w:t>份材料：</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rPr>
        <w:t>1.供应商服务承诺函；</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rPr>
        <w:t>2.法定代表人授权书(格式参照附件二)：原件1份（</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rPr>
        <w:t>3.企业营业执照副本:复印件1份；</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rPr>
        <w:t>4.供应商提交询价文件递交日前一天在“信用中国”网站（www.creditchina.gov.cn）及中国政府采购网(</w:t>
      </w:r>
      <w:r>
        <w:fldChar w:fldCharType="begin"/>
      </w:r>
      <w:r>
        <w:instrText xml:space="preserve"> HYPERLINK "http://www.ccgp.gov.cn/" </w:instrText>
      </w:r>
      <w:r>
        <w:fldChar w:fldCharType="separate"/>
      </w:r>
      <w:r>
        <w:rPr>
          <w:rFonts w:hint="eastAsia" w:ascii="宋体" w:hAnsi="宋体" w:eastAsia="宋体" w:cs="宋体"/>
          <w:color w:val="2F2F2F"/>
          <w:kern w:val="0"/>
          <w:sz w:val="18"/>
          <w:szCs w:val="18"/>
        </w:rPr>
        <w:t>www.ccgp.gov.cn</w:t>
      </w:r>
      <w:r>
        <w:rPr>
          <w:rFonts w:hint="eastAsia" w:ascii="宋体" w:hAnsi="宋体" w:eastAsia="宋体" w:cs="宋体"/>
          <w:color w:val="2F2F2F"/>
          <w:kern w:val="0"/>
          <w:sz w:val="18"/>
          <w:szCs w:val="18"/>
        </w:rPr>
        <w:fldChar w:fldCharType="end"/>
      </w:r>
      <w:r>
        <w:rPr>
          <w:rFonts w:hint="eastAsia" w:ascii="宋体" w:hAnsi="宋体" w:eastAsia="宋体" w:cs="宋体"/>
          <w:color w:val="222222"/>
          <w:kern w:val="0"/>
          <w:sz w:val="24"/>
          <w:szCs w:val="24"/>
        </w:rPr>
        <w:t>)的查询结果截图，并加盖供应商公章；</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rPr>
        <w:t>5.报价汇总表(格式参照附件一): 原件1份</w:t>
      </w: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bookmarkStart w:id="6" w:name="_GoBack"/>
      <w:bookmarkEnd w:id="6"/>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pStyle w:val="4"/>
        <w:shd w:val="clear" w:color="auto" w:fill="FFFFFF"/>
        <w:spacing w:before="0" w:after="0" w:line="540" w:lineRule="atLeast"/>
        <w:rPr>
          <w:rFonts w:ascii="Helvetica" w:hAnsi="Helvetica" w:cs="Helvetica"/>
          <w:b w:val="0"/>
          <w:bCs w:val="0"/>
          <w:color w:val="333333"/>
          <w:sz w:val="36"/>
          <w:szCs w:val="36"/>
        </w:rPr>
      </w:pPr>
      <w:r>
        <w:rPr>
          <w:rFonts w:hint="eastAsia" w:cs="Helvetica"/>
          <w:b w:val="0"/>
          <w:bCs w:val="0"/>
          <w:color w:val="222222"/>
          <w:sz w:val="24"/>
          <w:szCs w:val="24"/>
        </w:rPr>
        <w:t>附件一：</w:t>
      </w:r>
    </w:p>
    <w:p>
      <w:pPr>
        <w:shd w:val="clear" w:color="auto" w:fill="FFFFFF"/>
        <w:spacing w:line="315" w:lineRule="atLeast"/>
        <w:jc w:val="center"/>
        <w:rPr>
          <w:rFonts w:ascii="宋体" w:hAnsi="宋体" w:cs="宋体"/>
          <w:color w:val="333333"/>
          <w:szCs w:val="21"/>
        </w:rPr>
      </w:pPr>
      <w:r>
        <w:rPr>
          <w:rFonts w:hint="eastAsia"/>
          <w:b/>
          <w:bCs/>
          <w:color w:val="222222"/>
          <w:sz w:val="32"/>
          <w:szCs w:val="32"/>
        </w:rPr>
        <w:t>报价汇总表</w:t>
      </w:r>
    </w:p>
    <w:p>
      <w:pPr>
        <w:shd w:val="clear" w:color="auto" w:fill="FFFFFF"/>
        <w:spacing w:line="315" w:lineRule="atLeast"/>
        <w:rPr>
          <w:rFonts w:hint="eastAsia"/>
          <w:color w:val="222222"/>
        </w:rPr>
      </w:pPr>
      <w:r>
        <w:rPr>
          <w:rFonts w:hint="eastAsia"/>
          <w:color w:val="222222"/>
        </w:rPr>
        <w:t>项目名称：江门市蓬江区人民法院科技法庭升级改造（第六期）项目</w:t>
      </w:r>
    </w:p>
    <w:p>
      <w:pPr>
        <w:shd w:val="clear" w:color="auto" w:fill="FFFFFF"/>
        <w:spacing w:line="315" w:lineRule="atLeast"/>
        <w:rPr>
          <w:color w:val="333333"/>
          <w:szCs w:val="21"/>
        </w:rPr>
      </w:pPr>
      <w:r>
        <w:rPr>
          <w:rFonts w:hint="eastAsia"/>
          <w:color w:val="222222"/>
        </w:rPr>
        <w:t>项目编号：</w:t>
      </w:r>
    </w:p>
    <w:tbl>
      <w:tblPr>
        <w:tblStyle w:val="10"/>
        <w:tblW w:w="0" w:type="auto"/>
        <w:tblInd w:w="0" w:type="dxa"/>
        <w:shd w:val="clear" w:color="auto" w:fill="FFFFFF"/>
        <w:tblLayout w:type="autofit"/>
        <w:tblCellMar>
          <w:top w:w="0" w:type="dxa"/>
          <w:left w:w="0" w:type="dxa"/>
          <w:bottom w:w="0" w:type="dxa"/>
          <w:right w:w="0" w:type="dxa"/>
        </w:tblCellMar>
      </w:tblPr>
      <w:tblGrid>
        <w:gridCol w:w="358"/>
        <w:gridCol w:w="5466"/>
        <w:gridCol w:w="1896"/>
      </w:tblGrid>
      <w:tr>
        <w:tblPrEx>
          <w:shd w:val="clear" w:color="auto" w:fill="FFFFFF"/>
          <w:tblCellMar>
            <w:top w:w="0" w:type="dxa"/>
            <w:left w:w="0" w:type="dxa"/>
            <w:bottom w:w="0" w:type="dxa"/>
            <w:right w:w="0" w:type="dxa"/>
          </w:tblCellMar>
        </w:tblPrEx>
        <w:trPr>
          <w:trHeight w:val="780" w:hRule="atLeast"/>
        </w:trPr>
        <w:tc>
          <w:tcPr>
            <w:tcW w:w="0" w:type="auto"/>
            <w:gridSpan w:val="2"/>
            <w:tcBorders>
              <w:top w:val="threeDEmboss" w:color="auto" w:sz="6" w:space="0"/>
              <w:left w:val="threeDEngrave" w:color="auto" w:sz="6" w:space="0"/>
              <w:bottom w:val="threeDEngrave" w:color="auto" w:sz="6" w:space="0"/>
              <w:right w:val="single" w:color="auto" w:sz="8" w:space="0"/>
            </w:tcBorders>
            <w:shd w:val="clear" w:color="auto" w:fill="F3F3F3"/>
            <w:tcMar>
              <w:top w:w="0" w:type="dxa"/>
              <w:left w:w="108" w:type="dxa"/>
              <w:bottom w:w="0" w:type="dxa"/>
              <w:right w:w="108" w:type="dxa"/>
            </w:tcMar>
            <w:vAlign w:val="center"/>
          </w:tcPr>
          <w:p>
            <w:pPr>
              <w:spacing w:line="315" w:lineRule="atLeast"/>
              <w:jc w:val="center"/>
              <w:rPr>
                <w:color w:val="333333"/>
                <w:szCs w:val="21"/>
              </w:rPr>
            </w:pPr>
            <w:r>
              <w:rPr>
                <w:rFonts w:hint="eastAsia" w:ascii="黑体" w:hAnsi="黑体" w:eastAsia="黑体"/>
                <w:color w:val="333333"/>
              </w:rPr>
              <w:t>报价分项</w:t>
            </w:r>
          </w:p>
        </w:tc>
        <w:tc>
          <w:tcPr>
            <w:tcW w:w="0" w:type="auto"/>
            <w:tcBorders>
              <w:top w:val="threeDEmboss" w:color="auto" w:sz="6" w:space="0"/>
              <w:left w:val="nil"/>
              <w:bottom w:val="threeDEngrave" w:color="auto" w:sz="6" w:space="0"/>
              <w:right w:val="threeDEngrave" w:color="auto" w:sz="6" w:space="0"/>
            </w:tcBorders>
            <w:shd w:val="clear" w:color="auto" w:fill="F3F3F3"/>
            <w:tcMar>
              <w:top w:w="0" w:type="dxa"/>
              <w:left w:w="108" w:type="dxa"/>
              <w:bottom w:w="0" w:type="dxa"/>
              <w:right w:w="108" w:type="dxa"/>
            </w:tcMar>
            <w:vAlign w:val="center"/>
          </w:tcPr>
          <w:p>
            <w:pPr>
              <w:pStyle w:val="18"/>
              <w:spacing w:before="0" w:beforeAutospacing="0" w:after="0" w:afterAutospacing="0" w:line="315" w:lineRule="atLeast"/>
              <w:rPr>
                <w:color w:val="333333"/>
                <w:sz w:val="21"/>
                <w:szCs w:val="21"/>
              </w:rPr>
            </w:pPr>
            <w:r>
              <w:rPr>
                <w:rFonts w:hint="eastAsia" w:ascii="黑体" w:hAnsi="黑体" w:eastAsia="黑体"/>
                <w:color w:val="333333"/>
              </w:rPr>
              <w:t>单项合计（元）</w:t>
            </w:r>
          </w:p>
        </w:tc>
      </w:tr>
      <w:tr>
        <w:tblPrEx>
          <w:tblCellMar>
            <w:top w:w="0" w:type="dxa"/>
            <w:left w:w="0" w:type="dxa"/>
            <w:bottom w:w="0" w:type="dxa"/>
            <w:right w:w="0" w:type="dxa"/>
          </w:tblCellMar>
        </w:tblPrEx>
        <w:trPr>
          <w:trHeight w:val="1402" w:hRule="atLeast"/>
        </w:trPr>
        <w:tc>
          <w:tcPr>
            <w:tcW w:w="0" w:type="auto"/>
            <w:tcBorders>
              <w:top w:val="nil"/>
              <w:left w:val="threeDEngrave" w:color="auto" w:sz="6"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15" w:lineRule="atLeast"/>
              <w:jc w:val="center"/>
              <w:rPr>
                <w:color w:val="333333"/>
                <w:szCs w:val="21"/>
              </w:rPr>
            </w:pPr>
            <w:r>
              <w:rPr>
                <w:rFonts w:hint="eastAsia"/>
                <w:color w:val="333333"/>
                <w:spacing w:val="-20"/>
              </w:rPr>
              <w:t>1</w:t>
            </w:r>
            <w:r>
              <w:rPr>
                <w:rFonts w:ascii="Times New Roman" w:hAnsi="Times New Roman" w:cs="Times New Roman"/>
                <w:color w:val="333333"/>
                <w:spacing w:val="-20"/>
                <w:sz w:val="14"/>
                <w:szCs w:val="14"/>
              </w:rPr>
              <w:t>   </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15" w:lineRule="atLeast"/>
              <w:jc w:val="center"/>
              <w:rPr>
                <w:color w:val="333333"/>
                <w:szCs w:val="21"/>
              </w:rPr>
            </w:pPr>
            <w:r>
              <w:rPr>
                <w:rFonts w:hint="eastAsia"/>
                <w:color w:val="222222"/>
              </w:rPr>
              <w:t>江门市蓬江区人民法院科技法庭升级改造（第六期）项目</w:t>
            </w:r>
          </w:p>
        </w:tc>
        <w:tc>
          <w:tcPr>
            <w:tcW w:w="0" w:type="auto"/>
            <w:tcBorders>
              <w:top w:val="threeDEngrave" w:color="auto" w:sz="6" w:space="0"/>
              <w:left w:val="nil"/>
              <w:bottom w:val="single" w:color="auto" w:sz="8" w:space="0"/>
              <w:right w:val="threeDEngrave" w:color="auto" w:sz="6" w:space="0"/>
            </w:tcBorders>
            <w:shd w:val="clear" w:color="auto" w:fill="FFFFFF"/>
            <w:tcMar>
              <w:top w:w="0" w:type="dxa"/>
              <w:left w:w="108" w:type="dxa"/>
              <w:bottom w:w="0" w:type="dxa"/>
              <w:right w:w="108" w:type="dxa"/>
            </w:tcMar>
            <w:vAlign w:val="center"/>
          </w:tcPr>
          <w:p>
            <w:pPr>
              <w:spacing w:line="315" w:lineRule="atLeast"/>
              <w:jc w:val="center"/>
              <w:rPr>
                <w:color w:val="333333"/>
                <w:szCs w:val="21"/>
              </w:rPr>
            </w:pPr>
            <w:r>
              <w:rPr>
                <w:rFonts w:hint="eastAsia"/>
                <w:color w:val="333333"/>
              </w:rPr>
              <w:t> </w:t>
            </w:r>
          </w:p>
        </w:tc>
      </w:tr>
      <w:tr>
        <w:tblPrEx>
          <w:tblCellMar>
            <w:top w:w="0" w:type="dxa"/>
            <w:left w:w="0" w:type="dxa"/>
            <w:bottom w:w="0" w:type="dxa"/>
            <w:right w:w="0" w:type="dxa"/>
          </w:tblCellMar>
        </w:tblPrEx>
        <w:trPr>
          <w:trHeight w:val="823" w:hRule="atLeast"/>
        </w:trPr>
        <w:tc>
          <w:tcPr>
            <w:tcW w:w="0" w:type="auto"/>
            <w:gridSpan w:val="3"/>
            <w:tcBorders>
              <w:top w:val="nil"/>
              <w:left w:val="threeDEngrave" w:color="auto" w:sz="6" w:space="0"/>
              <w:bottom w:val="single" w:color="auto" w:sz="8" w:space="0"/>
              <w:right w:val="threeDEngrave" w:color="auto" w:sz="6" w:space="0"/>
            </w:tcBorders>
            <w:shd w:val="clear" w:color="auto" w:fill="F3F3F3"/>
            <w:tcMar>
              <w:top w:w="0" w:type="dxa"/>
              <w:left w:w="108" w:type="dxa"/>
              <w:bottom w:w="0" w:type="dxa"/>
              <w:right w:w="108" w:type="dxa"/>
            </w:tcMar>
            <w:vAlign w:val="center"/>
          </w:tcPr>
          <w:p>
            <w:pPr>
              <w:spacing w:line="315" w:lineRule="atLeast"/>
              <w:jc w:val="center"/>
              <w:rPr>
                <w:color w:val="333333"/>
                <w:szCs w:val="21"/>
              </w:rPr>
            </w:pPr>
            <w:r>
              <w:rPr>
                <w:rFonts w:hint="eastAsia" w:ascii="黑体" w:hAnsi="黑体" w:eastAsia="黑体"/>
                <w:color w:val="333333"/>
                <w:sz w:val="28"/>
                <w:szCs w:val="28"/>
              </w:rPr>
              <w:t>报价合计：</w:t>
            </w:r>
            <w:r>
              <w:rPr>
                <w:rFonts w:hint="eastAsia"/>
                <w:color w:val="333333"/>
                <w:sz w:val="28"/>
                <w:szCs w:val="28"/>
                <w:u w:val="single"/>
              </w:rPr>
              <w:t>              </w:t>
            </w:r>
            <w:r>
              <w:rPr>
                <w:rFonts w:hint="eastAsia" w:ascii="黑体" w:hAnsi="黑体" w:eastAsia="黑体"/>
                <w:color w:val="333333"/>
                <w:sz w:val="28"/>
                <w:szCs w:val="28"/>
              </w:rPr>
              <w:t>元人民币。</w:t>
            </w:r>
          </w:p>
        </w:tc>
      </w:tr>
      <w:tr>
        <w:tblPrEx>
          <w:tblCellMar>
            <w:top w:w="0" w:type="dxa"/>
            <w:left w:w="0" w:type="dxa"/>
            <w:bottom w:w="0" w:type="dxa"/>
            <w:right w:w="0" w:type="dxa"/>
          </w:tblCellMar>
        </w:tblPrEx>
        <w:trPr>
          <w:trHeight w:val="912" w:hRule="atLeast"/>
        </w:trPr>
        <w:tc>
          <w:tcPr>
            <w:tcW w:w="0" w:type="auto"/>
            <w:gridSpan w:val="3"/>
            <w:tcBorders>
              <w:top w:val="nil"/>
              <w:left w:val="threeDEngrave" w:color="auto" w:sz="6" w:space="0"/>
              <w:bottom w:val="threeDEngrave" w:color="auto" w:sz="6" w:space="0"/>
              <w:right w:val="threeDEngrave" w:color="auto" w:sz="6" w:space="0"/>
            </w:tcBorders>
            <w:shd w:val="clear" w:color="auto" w:fill="FFFFFF"/>
            <w:tcMar>
              <w:top w:w="0" w:type="dxa"/>
              <w:left w:w="108" w:type="dxa"/>
              <w:bottom w:w="0" w:type="dxa"/>
              <w:right w:w="108" w:type="dxa"/>
            </w:tcMar>
            <w:vAlign w:val="center"/>
          </w:tcPr>
          <w:p>
            <w:pPr>
              <w:spacing w:line="315" w:lineRule="atLeast"/>
              <w:rPr>
                <w:color w:val="333333"/>
                <w:szCs w:val="21"/>
              </w:rPr>
            </w:pPr>
            <w:r>
              <w:rPr>
                <w:rFonts w:hint="eastAsia" w:ascii="黑体" w:hAnsi="黑体" w:eastAsia="黑体"/>
                <w:color w:val="333333"/>
              </w:rPr>
              <w:t>备注：</w:t>
            </w:r>
            <w:r>
              <w:rPr>
                <w:rFonts w:hint="eastAsia"/>
                <w:color w:val="333333"/>
              </w:rPr>
              <w:t>1</w:t>
            </w:r>
            <w:r>
              <w:rPr>
                <w:rFonts w:hint="eastAsia" w:ascii="黑体" w:hAnsi="黑体" w:eastAsia="黑体"/>
                <w:color w:val="333333"/>
              </w:rPr>
              <w:t>、详细内容见《详细配置及工程服务量报价清单》。</w:t>
            </w:r>
            <w:r>
              <w:rPr>
                <w:rFonts w:hint="eastAsia"/>
                <w:color w:val="333333"/>
              </w:rPr>
              <w:t>  </w:t>
            </w:r>
          </w:p>
        </w:tc>
      </w:tr>
    </w:tbl>
    <w:p>
      <w:pPr>
        <w:shd w:val="clear" w:color="auto" w:fill="FFFFFF"/>
        <w:spacing w:line="315" w:lineRule="atLeast"/>
        <w:rPr>
          <w:color w:val="333333"/>
          <w:szCs w:val="21"/>
        </w:rPr>
      </w:pPr>
      <w:r>
        <w:rPr>
          <w:rFonts w:hint="eastAsia"/>
          <w:color w:val="222222"/>
        </w:rPr>
        <w:t>注：1、投标总价应为各分项报价之和。</w:t>
      </w:r>
    </w:p>
    <w:p>
      <w:pPr>
        <w:shd w:val="clear" w:color="auto" w:fill="FFFFFF"/>
        <w:spacing w:line="315" w:lineRule="atLeast"/>
        <w:rPr>
          <w:color w:val="333333"/>
          <w:szCs w:val="21"/>
        </w:rPr>
      </w:pPr>
      <w:r>
        <w:rPr>
          <w:rFonts w:hint="eastAsia"/>
          <w:color w:val="222222"/>
        </w:rPr>
        <w:t>2、报价中必须包含全额含税发票、合同实施过程中的应预见费用等。</w:t>
      </w:r>
    </w:p>
    <w:p>
      <w:pPr>
        <w:shd w:val="clear" w:color="auto" w:fill="FFFFFF"/>
        <w:spacing w:line="315" w:lineRule="atLeast"/>
        <w:rPr>
          <w:color w:val="333333"/>
          <w:szCs w:val="21"/>
        </w:rPr>
      </w:pPr>
      <w:r>
        <w:rPr>
          <w:rFonts w:hint="eastAsia"/>
          <w:color w:val="222222"/>
        </w:rPr>
        <w:t>3、报价表述限于选用中文大写 或 阿拉伯数字小写，均已核定准确无误。</w:t>
      </w:r>
    </w:p>
    <w:p>
      <w:pPr>
        <w:shd w:val="clear" w:color="auto" w:fill="FFFFFF"/>
        <w:spacing w:line="315" w:lineRule="atLeast"/>
        <w:rPr>
          <w:color w:val="333333"/>
          <w:szCs w:val="21"/>
        </w:rPr>
      </w:pPr>
      <w:r>
        <w:rPr>
          <w:rFonts w:hint="eastAsia"/>
          <w:color w:val="222222"/>
        </w:rPr>
        <w:t>服务供应商名称：</w:t>
      </w:r>
      <w:r>
        <w:rPr>
          <w:rFonts w:hint="eastAsia"/>
          <w:color w:val="222222"/>
          <w:u w:val="single"/>
        </w:rPr>
        <w:t>         （公司名称）     </w:t>
      </w:r>
      <w:r>
        <w:rPr>
          <w:rFonts w:hint="eastAsia"/>
          <w:color w:val="222222"/>
        </w:rPr>
        <w:t>（公章）</w:t>
      </w:r>
    </w:p>
    <w:p>
      <w:pPr>
        <w:shd w:val="clear" w:color="auto" w:fill="FFFFFF"/>
        <w:spacing w:line="315" w:lineRule="atLeast"/>
        <w:rPr>
          <w:color w:val="333333"/>
          <w:szCs w:val="21"/>
        </w:rPr>
      </w:pPr>
      <w:r>
        <w:rPr>
          <w:rFonts w:hint="eastAsia"/>
          <w:color w:val="222222"/>
        </w:rPr>
        <w:t>授权人/代理人：</w:t>
      </w:r>
      <w:r>
        <w:rPr>
          <w:rFonts w:hint="eastAsia"/>
          <w:color w:val="222222"/>
          <w:u w:val="single"/>
        </w:rPr>
        <w:t>        （亲笔签名）     </w:t>
      </w:r>
    </w:p>
    <w:p>
      <w:pPr>
        <w:shd w:val="clear" w:color="auto" w:fill="FFFFFF"/>
        <w:spacing w:line="315" w:lineRule="atLeast"/>
        <w:rPr>
          <w:color w:val="333333"/>
          <w:szCs w:val="21"/>
        </w:rPr>
      </w:pPr>
      <w:r>
        <w:rPr>
          <w:rFonts w:hint="eastAsia"/>
          <w:color w:val="222222"/>
        </w:rPr>
        <w:t>日期：2020年    月    日</w:t>
      </w:r>
    </w:p>
    <w:p>
      <w:pPr>
        <w:shd w:val="clear" w:color="auto" w:fill="FFFFFF"/>
        <w:spacing w:line="315" w:lineRule="atLeast"/>
        <w:rPr>
          <w:color w:val="222222"/>
        </w:rPr>
      </w:pPr>
      <w:r>
        <w:rPr>
          <w:rFonts w:hint="eastAsia"/>
          <w:color w:val="222222"/>
        </w:rPr>
        <w:t> </w:t>
      </w: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333333"/>
          <w:szCs w:val="21"/>
        </w:rPr>
      </w:pPr>
    </w:p>
    <w:p>
      <w:pPr>
        <w:shd w:val="clear" w:color="auto" w:fill="FFFFFF"/>
        <w:spacing w:line="375" w:lineRule="atLeast"/>
        <w:rPr>
          <w:color w:val="333333"/>
          <w:szCs w:val="21"/>
        </w:rPr>
      </w:pPr>
      <w:r>
        <w:rPr>
          <w:rFonts w:hint="eastAsia" w:ascii="仿宋_GB2312" w:eastAsia="仿宋_GB2312"/>
          <w:color w:val="222222"/>
          <w:sz w:val="28"/>
          <w:szCs w:val="28"/>
        </w:rPr>
        <w:t>附件二：</w:t>
      </w:r>
    </w:p>
    <w:p>
      <w:pPr>
        <w:pStyle w:val="4"/>
        <w:shd w:val="clear" w:color="auto" w:fill="FFFFFF"/>
        <w:spacing w:before="0" w:after="0" w:line="540" w:lineRule="atLeast"/>
        <w:jc w:val="center"/>
        <w:rPr>
          <w:rFonts w:ascii="Helvetica" w:hAnsi="Helvetica" w:cs="Helvetica"/>
          <w:b w:val="0"/>
          <w:bCs w:val="0"/>
          <w:color w:val="333333"/>
          <w:sz w:val="36"/>
          <w:szCs w:val="36"/>
        </w:rPr>
      </w:pPr>
      <w:r>
        <w:rPr>
          <w:rFonts w:hint="eastAsia" w:cs="Helvetica"/>
          <w:color w:val="222222"/>
        </w:rPr>
        <w:t>法定代表人授权书</w:t>
      </w:r>
    </w:p>
    <w:p>
      <w:pPr>
        <w:shd w:val="clear" w:color="auto" w:fill="FFFFFF"/>
        <w:spacing w:line="315" w:lineRule="atLeast"/>
        <w:rPr>
          <w:rFonts w:ascii="宋体" w:hAnsi="宋体" w:cs="宋体"/>
          <w:color w:val="333333"/>
          <w:szCs w:val="21"/>
        </w:rPr>
      </w:pPr>
      <w:r>
        <w:rPr>
          <w:rFonts w:hint="eastAsia"/>
          <w:b/>
          <w:bCs/>
          <w:color w:val="222222"/>
        </w:rPr>
        <w:t> </w:t>
      </w:r>
    </w:p>
    <w:p>
      <w:pPr>
        <w:shd w:val="clear" w:color="auto" w:fill="FFFFFF"/>
        <w:spacing w:line="315" w:lineRule="atLeast"/>
        <w:rPr>
          <w:color w:val="333333"/>
          <w:szCs w:val="21"/>
        </w:rPr>
      </w:pPr>
      <w:r>
        <w:rPr>
          <w:rFonts w:hint="eastAsia"/>
          <w:b/>
          <w:bCs/>
          <w:color w:val="222222"/>
        </w:rPr>
        <w:t>江门市蓬江区人民法院：</w:t>
      </w:r>
    </w:p>
    <w:p>
      <w:pPr>
        <w:shd w:val="clear" w:color="auto" w:fill="FFFFFF"/>
        <w:spacing w:line="315" w:lineRule="atLeast"/>
        <w:rPr>
          <w:color w:val="333333"/>
          <w:szCs w:val="21"/>
        </w:rPr>
      </w:pPr>
      <w:r>
        <w:rPr>
          <w:rFonts w:hint="eastAsia"/>
          <w:color w:val="222222"/>
        </w:rPr>
        <w:t>兹授权：注册身份证号码为</w:t>
      </w:r>
      <w:r>
        <w:rPr>
          <w:rFonts w:hint="eastAsia"/>
          <w:color w:val="222222"/>
          <w:u w:val="single"/>
        </w:rPr>
        <w:t>                    </w:t>
      </w:r>
      <w:r>
        <w:rPr>
          <w:rFonts w:hint="eastAsia"/>
          <w:color w:val="222222"/>
        </w:rPr>
        <w:t>的</w:t>
      </w:r>
      <w:r>
        <w:rPr>
          <w:rFonts w:hint="eastAsia"/>
          <w:color w:val="222222"/>
          <w:u w:val="single"/>
        </w:rPr>
        <w:t> （被授权人）</w:t>
      </w:r>
      <w:r>
        <w:rPr>
          <w:rFonts w:hint="eastAsia"/>
          <w:color w:val="222222"/>
        </w:rPr>
        <w:t>先生/小姐作为我公司的合法授权代理人，参与贵单位承办的政府采购项目招标。</w:t>
      </w:r>
    </w:p>
    <w:p>
      <w:pPr>
        <w:shd w:val="clear" w:color="auto" w:fill="FFFFFF"/>
        <w:spacing w:line="315" w:lineRule="atLeast"/>
        <w:rPr>
          <w:color w:val="333333"/>
          <w:szCs w:val="21"/>
        </w:rPr>
      </w:pPr>
      <w:r>
        <w:rPr>
          <w:rFonts w:hint="eastAsia"/>
          <w:color w:val="222222"/>
        </w:rPr>
        <w:t>项目名称：江门市蓬江区人民法院科技法庭升级改造（第六期）项目</w:t>
      </w:r>
    </w:p>
    <w:p>
      <w:pPr>
        <w:shd w:val="clear" w:color="auto" w:fill="FFFFFF"/>
        <w:spacing w:line="315" w:lineRule="atLeast"/>
        <w:rPr>
          <w:color w:val="333333"/>
          <w:szCs w:val="21"/>
        </w:rPr>
      </w:pPr>
      <w:r>
        <w:rPr>
          <w:rFonts w:hint="eastAsia"/>
          <w:color w:val="222222"/>
        </w:rPr>
        <w:t>项目编号</w:t>
      </w:r>
      <w:r>
        <w:rPr>
          <w:rFonts w:cs="Calibri"/>
          <w:color w:val="222222"/>
        </w:rPr>
        <w:t>：</w:t>
      </w:r>
      <w:r>
        <w:rPr>
          <w:color w:val="222222"/>
        </w:rPr>
        <w:t>XXX</w:t>
      </w:r>
    </w:p>
    <w:p>
      <w:pPr>
        <w:shd w:val="clear" w:color="auto" w:fill="FFFFFF"/>
        <w:spacing w:line="315" w:lineRule="atLeast"/>
        <w:rPr>
          <w:color w:val="333333"/>
          <w:szCs w:val="21"/>
        </w:rPr>
      </w:pPr>
      <w:r>
        <w:rPr>
          <w:rFonts w:hint="eastAsia"/>
          <w:color w:val="222222"/>
        </w:rPr>
        <w:t>授权权限：全权代表本公司参与上述采购项目的招标，并处理与之相关的一切文书的确认。</w:t>
      </w:r>
    </w:p>
    <w:p>
      <w:pPr>
        <w:shd w:val="clear" w:color="auto" w:fill="FFFFFF"/>
        <w:spacing w:line="315" w:lineRule="atLeast"/>
        <w:rPr>
          <w:color w:val="333333"/>
          <w:szCs w:val="21"/>
        </w:rPr>
      </w:pPr>
      <w:r>
        <w:rPr>
          <w:rFonts w:hint="eastAsia"/>
          <w:color w:val="222222"/>
        </w:rPr>
        <w:t>有效期限：与本公司招标响应文件中标注的招标响应有效期相同，自法人代表签字之日起生效。</w:t>
      </w:r>
    </w:p>
    <w:p>
      <w:pPr>
        <w:shd w:val="clear" w:color="auto" w:fill="FFFFFF"/>
        <w:spacing w:line="315" w:lineRule="atLeast"/>
        <w:rPr>
          <w:color w:val="333333"/>
          <w:szCs w:val="21"/>
        </w:rPr>
      </w:pPr>
      <w:r>
        <w:rPr>
          <w:rFonts w:hint="eastAsia"/>
          <w:color w:val="222222"/>
        </w:rPr>
        <w:t> 授权代理人：</w:t>
      </w:r>
      <w:r>
        <w:rPr>
          <w:rFonts w:hint="eastAsia"/>
          <w:color w:val="222222"/>
          <w:u w:val="single"/>
        </w:rPr>
        <w:t>    （亲笔签名）       </w:t>
      </w:r>
      <w:r>
        <w:rPr>
          <w:rFonts w:hint="eastAsia"/>
          <w:color w:val="222222"/>
        </w:rPr>
        <w:t>  联系电话：</w:t>
      </w:r>
      <w:r>
        <w:rPr>
          <w:rFonts w:hint="eastAsia"/>
          <w:color w:val="222222"/>
          <w:u w:val="single"/>
        </w:rPr>
        <w:t>                         </w:t>
      </w:r>
    </w:p>
    <w:p>
      <w:pPr>
        <w:shd w:val="clear" w:color="auto" w:fill="FFFFFF"/>
        <w:spacing w:line="315" w:lineRule="atLeast"/>
        <w:rPr>
          <w:color w:val="333333"/>
          <w:szCs w:val="21"/>
        </w:rPr>
      </w:pPr>
      <w:r>
        <w:rPr>
          <w:rFonts w:hint="eastAsia"/>
          <w:color w:val="222222"/>
        </w:rPr>
        <w:t>职    务：</w:t>
      </w:r>
      <w:r>
        <w:rPr>
          <w:rFonts w:hint="eastAsia"/>
          <w:color w:val="222222"/>
          <w:u w:val="single"/>
        </w:rPr>
        <w:t>                         </w:t>
      </w:r>
      <w:r>
        <w:rPr>
          <w:rFonts w:hint="eastAsia"/>
          <w:color w:val="222222"/>
        </w:rPr>
        <w:t>  身份证号码：</w:t>
      </w:r>
      <w:r>
        <w:rPr>
          <w:rFonts w:hint="eastAsia"/>
          <w:color w:val="222222"/>
          <w:u w:val="single"/>
        </w:rPr>
        <w:t>                       </w:t>
      </w:r>
    </w:p>
    <w:p>
      <w:pPr>
        <w:shd w:val="clear" w:color="auto" w:fill="FFFFFF"/>
        <w:spacing w:line="315" w:lineRule="atLeast"/>
        <w:rPr>
          <w:color w:val="333333"/>
          <w:szCs w:val="21"/>
        </w:rPr>
      </w:pPr>
      <w:r>
        <w:rPr>
          <w:rFonts w:hint="eastAsia"/>
          <w:color w:val="222222"/>
        </w:rPr>
        <w:t>公司名称：</w:t>
      </w:r>
      <w:r>
        <w:rPr>
          <w:rFonts w:hint="eastAsia"/>
          <w:color w:val="222222"/>
          <w:u w:val="single"/>
        </w:rPr>
        <w:t>                  （公章）</w:t>
      </w:r>
      <w:r>
        <w:rPr>
          <w:rFonts w:hint="eastAsia"/>
          <w:color w:val="222222"/>
        </w:rPr>
        <w:t> 营业执照号码：</w:t>
      </w:r>
      <w:r>
        <w:rPr>
          <w:rFonts w:hint="eastAsia"/>
          <w:color w:val="222222"/>
          <w:u w:val="single"/>
        </w:rPr>
        <w:t>                     </w:t>
      </w:r>
    </w:p>
    <w:p>
      <w:pPr>
        <w:shd w:val="clear" w:color="auto" w:fill="FFFFFF"/>
        <w:spacing w:line="315" w:lineRule="atLeast"/>
        <w:rPr>
          <w:color w:val="333333"/>
          <w:szCs w:val="21"/>
        </w:rPr>
      </w:pPr>
      <w:r>
        <w:rPr>
          <w:rFonts w:hint="eastAsia"/>
          <w:color w:val="222222"/>
        </w:rPr>
        <w:t>法定代表人：</w:t>
      </w:r>
      <w:r>
        <w:rPr>
          <w:rFonts w:hint="eastAsia"/>
          <w:color w:val="222222"/>
          <w:u w:val="single"/>
        </w:rPr>
        <w:t>    （亲笔签名）       </w:t>
      </w:r>
      <w:r>
        <w:rPr>
          <w:rFonts w:hint="eastAsia"/>
          <w:color w:val="222222"/>
        </w:rPr>
        <w:t>  联系电话：</w:t>
      </w:r>
      <w:r>
        <w:rPr>
          <w:rFonts w:hint="eastAsia"/>
          <w:color w:val="222222"/>
          <w:u w:val="single"/>
        </w:rPr>
        <w:t>                         </w:t>
      </w:r>
    </w:p>
    <w:p>
      <w:pPr>
        <w:shd w:val="clear" w:color="auto" w:fill="FFFFFF"/>
        <w:spacing w:line="315" w:lineRule="atLeast"/>
        <w:rPr>
          <w:color w:val="333333"/>
          <w:szCs w:val="21"/>
        </w:rPr>
      </w:pPr>
      <w:r>
        <w:rPr>
          <w:rFonts w:hint="eastAsia"/>
          <w:color w:val="222222"/>
        </w:rPr>
        <w:t>职    务：</w:t>
      </w:r>
      <w:r>
        <w:rPr>
          <w:rFonts w:hint="eastAsia"/>
          <w:color w:val="222222"/>
          <w:u w:val="single"/>
        </w:rPr>
        <w:t>                         </w:t>
      </w:r>
      <w:r>
        <w:rPr>
          <w:rFonts w:hint="eastAsia"/>
          <w:color w:val="222222"/>
        </w:rPr>
        <w:t>  身份证号码：</w:t>
      </w:r>
      <w:r>
        <w:rPr>
          <w:rFonts w:hint="eastAsia"/>
          <w:color w:val="222222"/>
          <w:u w:val="single"/>
        </w:rPr>
        <w:t>                       </w:t>
      </w:r>
    </w:p>
    <w:p>
      <w:pPr>
        <w:shd w:val="clear" w:color="auto" w:fill="FFFFFF"/>
        <w:spacing w:line="315" w:lineRule="atLeast"/>
        <w:rPr>
          <w:color w:val="333333"/>
          <w:szCs w:val="21"/>
        </w:rPr>
      </w:pPr>
      <w:r>
        <w:rPr>
          <w:rFonts w:hint="eastAsia"/>
          <w:color w:val="222222"/>
        </w:rPr>
        <w:t> 签字生效日期：2020年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1."/>
      <w:lvlJc w:val="left"/>
      <w:pPr>
        <w:tabs>
          <w:tab w:val="left" w:pos="510"/>
        </w:tabs>
        <w:ind w:left="510" w:hanging="510"/>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7"/>
    <w:multiLevelType w:val="multilevel"/>
    <w:tmpl w:val="00000007"/>
    <w:lvl w:ilvl="0" w:tentative="0">
      <w:start w:val="1"/>
      <w:numFmt w:val="decimal"/>
      <w:lvlText w:val="%1."/>
      <w:lvlJc w:val="left"/>
      <w:pPr>
        <w:tabs>
          <w:tab w:val="left" w:pos="510"/>
        </w:tabs>
        <w:ind w:left="510" w:hanging="510"/>
      </w:pPr>
      <w:rPr>
        <w:rFonts w:hint="eastAsia"/>
        <w:b w:val="0"/>
        <w:i w:val="0"/>
        <w:color w:val="000000"/>
        <w:sz w:val="24"/>
        <w:u w:val="none" w:color="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2.%1."/>
      <w:lvlJc w:val="left"/>
      <w:pPr>
        <w:tabs>
          <w:tab w:val="left" w:pos="510"/>
        </w:tabs>
        <w:ind w:left="510" w:hanging="510"/>
      </w:pPr>
      <w:rPr>
        <w:rFonts w:hint="default" w:ascii="Times New Roman" w:hAnsi="Times New Roman"/>
        <w:b/>
        <w:i w:val="0"/>
        <w:sz w:val="24"/>
      </w:rPr>
    </w:lvl>
    <w:lvl w:ilvl="1" w:tentative="0">
      <w:start w:val="1"/>
      <w:numFmt w:val="decimal"/>
      <w:lvlText w:val="3.%2."/>
      <w:lvlJc w:val="left"/>
      <w:pPr>
        <w:tabs>
          <w:tab w:val="left" w:pos="510"/>
        </w:tabs>
        <w:ind w:left="510" w:hanging="510"/>
      </w:pPr>
      <w:rPr>
        <w:rFonts w:hint="default" w:ascii="Times New Roman" w:hAnsi="Times New Roman"/>
        <w:b/>
        <w:i w:val="0"/>
        <w:sz w:val="24"/>
      </w:rPr>
    </w:lvl>
    <w:lvl w:ilvl="2" w:tentative="0">
      <w:start w:val="1"/>
      <w:numFmt w:val="decimal"/>
      <w:lvlText w:val="%3."/>
      <w:lvlJc w:val="left"/>
      <w:pPr>
        <w:tabs>
          <w:tab w:val="left" w:pos="510"/>
        </w:tabs>
        <w:ind w:left="510" w:hanging="510"/>
      </w:pPr>
      <w:rPr>
        <w:rFonts w:hint="eastAsia"/>
        <w:b w:val="0"/>
        <w:i w:val="0"/>
        <w:color w:val="auto"/>
        <w:sz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9200F82"/>
    <w:multiLevelType w:val="multilevel"/>
    <w:tmpl w:val="79200F82"/>
    <w:lvl w:ilvl="0" w:tentative="0">
      <w:start w:val="1"/>
      <w:numFmt w:val="decimal"/>
      <w:lvlText w:val="%1."/>
      <w:lvlJc w:val="left"/>
      <w:pPr>
        <w:tabs>
          <w:tab w:val="left" w:pos="510"/>
        </w:tabs>
        <w:ind w:left="510" w:hanging="510"/>
      </w:pPr>
      <w:rPr>
        <w:rFonts w:hint="eastAsia"/>
        <w:b w:val="0"/>
        <w:i w:val="0"/>
        <w:color w:val="000000"/>
        <w:sz w:val="24"/>
        <w:u w:val="none" w:color="000000"/>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6E7C"/>
    <w:rsid w:val="00046B08"/>
    <w:rsid w:val="000921C0"/>
    <w:rsid w:val="0010000F"/>
    <w:rsid w:val="00161C3A"/>
    <w:rsid w:val="001857BC"/>
    <w:rsid w:val="002430EF"/>
    <w:rsid w:val="00286E7C"/>
    <w:rsid w:val="002B0468"/>
    <w:rsid w:val="00357438"/>
    <w:rsid w:val="0037710A"/>
    <w:rsid w:val="003C5F38"/>
    <w:rsid w:val="00446802"/>
    <w:rsid w:val="00451926"/>
    <w:rsid w:val="005A1019"/>
    <w:rsid w:val="005F42FA"/>
    <w:rsid w:val="006708A2"/>
    <w:rsid w:val="006967D5"/>
    <w:rsid w:val="006B1C18"/>
    <w:rsid w:val="0079721B"/>
    <w:rsid w:val="007B5455"/>
    <w:rsid w:val="0082565E"/>
    <w:rsid w:val="00836EF3"/>
    <w:rsid w:val="008B7AC6"/>
    <w:rsid w:val="008F49C0"/>
    <w:rsid w:val="009172EF"/>
    <w:rsid w:val="009B78AA"/>
    <w:rsid w:val="009F331C"/>
    <w:rsid w:val="00A45D83"/>
    <w:rsid w:val="00BC1A38"/>
    <w:rsid w:val="00BE714A"/>
    <w:rsid w:val="00BF1B8E"/>
    <w:rsid w:val="00C11DD8"/>
    <w:rsid w:val="00C40C2B"/>
    <w:rsid w:val="00CD3831"/>
    <w:rsid w:val="00D2032A"/>
    <w:rsid w:val="00D25BD9"/>
    <w:rsid w:val="00DE6361"/>
    <w:rsid w:val="00EB23E5"/>
    <w:rsid w:val="00EB6A13"/>
    <w:rsid w:val="00F9637C"/>
    <w:rsid w:val="100D5669"/>
    <w:rsid w:val="1AFB7A96"/>
    <w:rsid w:val="1E372B42"/>
    <w:rsid w:val="277B10B1"/>
    <w:rsid w:val="36965724"/>
    <w:rsid w:val="431D0DD4"/>
    <w:rsid w:val="4FA9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7"/>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35"/>
    <w:pPr>
      <w:widowControl/>
      <w:spacing w:before="100" w:beforeAutospacing="1" w:after="100" w:afterAutospacing="1"/>
      <w:jc w:val="left"/>
    </w:pPr>
    <w:rPr>
      <w:rFonts w:ascii="宋体" w:hAnsi="宋体" w:eastAsia="宋体" w:cs="宋体"/>
      <w:kern w:val="0"/>
      <w:sz w:val="24"/>
      <w:szCs w:val="24"/>
    </w:rPr>
  </w:style>
  <w:style w:type="paragraph" w:styleId="7">
    <w:name w:val="Balloon Text"/>
    <w:basedOn w:val="1"/>
    <w:link w:val="21"/>
    <w:semiHidden/>
    <w:unhideWhenUsed/>
    <w:uiPriority w:val="99"/>
    <w:rPr>
      <w:sz w:val="18"/>
      <w:szCs w:val="18"/>
    </w:rPr>
  </w:style>
  <w:style w:type="paragraph" w:styleId="8">
    <w:name w:val="footer"/>
    <w:basedOn w:val="1"/>
    <w:link w:val="20"/>
    <w:semiHidden/>
    <w:unhideWhenUsed/>
    <w:uiPriority w:val="99"/>
    <w:pPr>
      <w:tabs>
        <w:tab w:val="center" w:pos="4153"/>
        <w:tab w:val="right" w:pos="8306"/>
      </w:tabs>
      <w:snapToGrid w:val="0"/>
      <w:jc w:val="left"/>
    </w:pPr>
    <w:rPr>
      <w:sz w:val="18"/>
      <w:szCs w:val="18"/>
    </w:rPr>
  </w:style>
  <w:style w:type="paragraph" w:styleId="9">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标题 1 Char"/>
    <w:basedOn w:val="11"/>
    <w:link w:val="2"/>
    <w:qFormat/>
    <w:uiPriority w:val="9"/>
    <w:rPr>
      <w:rFonts w:ascii="宋体" w:hAnsi="宋体" w:eastAsia="宋体" w:cs="宋体"/>
      <w:b/>
      <w:bCs/>
      <w:kern w:val="36"/>
      <w:sz w:val="48"/>
      <w:szCs w:val="48"/>
    </w:rPr>
  </w:style>
  <w:style w:type="character" w:customStyle="1" w:styleId="13">
    <w:name w:val="标题 2 Char"/>
    <w:basedOn w:val="11"/>
    <w:link w:val="3"/>
    <w:qFormat/>
    <w:uiPriority w:val="9"/>
    <w:rPr>
      <w:rFonts w:ascii="宋体" w:hAnsi="宋体" w:eastAsia="宋体" w:cs="宋体"/>
      <w:b/>
      <w:bCs/>
      <w:kern w:val="0"/>
      <w:sz w:val="36"/>
      <w:szCs w:val="36"/>
    </w:rPr>
  </w:style>
  <w:style w:type="paragraph" w:customStyle="1" w:styleId="14">
    <w:name w:val="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15"/>
    <w:basedOn w:val="11"/>
    <w:qFormat/>
    <w:uiPriority w:val="0"/>
  </w:style>
  <w:style w:type="character" w:customStyle="1" w:styleId="17">
    <w:name w:val="标题 3 Char"/>
    <w:basedOn w:val="11"/>
    <w:link w:val="4"/>
    <w:semiHidden/>
    <w:qFormat/>
    <w:uiPriority w:val="9"/>
    <w:rPr>
      <w:b/>
      <w:bCs/>
      <w:sz w:val="32"/>
      <w:szCs w:val="32"/>
    </w:rPr>
  </w:style>
  <w:style w:type="paragraph" w:customStyle="1" w:styleId="18">
    <w:name w:val="1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页眉 Char"/>
    <w:basedOn w:val="11"/>
    <w:link w:val="9"/>
    <w:semiHidden/>
    <w:qFormat/>
    <w:uiPriority w:val="99"/>
    <w:rPr>
      <w:sz w:val="18"/>
      <w:szCs w:val="18"/>
    </w:rPr>
  </w:style>
  <w:style w:type="character" w:customStyle="1" w:styleId="20">
    <w:name w:val="页脚 Char"/>
    <w:basedOn w:val="11"/>
    <w:link w:val="8"/>
    <w:semiHidden/>
    <w:qFormat/>
    <w:uiPriority w:val="99"/>
    <w:rPr>
      <w:sz w:val="18"/>
      <w:szCs w:val="18"/>
    </w:rPr>
  </w:style>
  <w:style w:type="character" w:customStyle="1" w:styleId="21">
    <w:name w:val="批注框文本 Char"/>
    <w:basedOn w:val="11"/>
    <w:link w:val="7"/>
    <w:semiHidden/>
    <w:qFormat/>
    <w:uiPriority w:val="99"/>
    <w:rPr>
      <w:sz w:val="18"/>
      <w:szCs w:val="18"/>
    </w:rPr>
  </w:style>
  <w:style w:type="character" w:customStyle="1" w:styleId="22">
    <w:name w:val="标题 4 Char"/>
    <w:basedOn w:val="11"/>
    <w:link w:val="5"/>
    <w:semiHidden/>
    <w:qFormat/>
    <w:uiPriority w:val="9"/>
    <w:rPr>
      <w:rFonts w:asciiTheme="majorHAnsi" w:hAnsiTheme="majorHAnsi" w:eastAsiaTheme="majorEastAsia" w:cstheme="majorBidi"/>
      <w:b/>
      <w:bCs/>
      <w:sz w:val="28"/>
      <w:szCs w:val="28"/>
    </w:rPr>
  </w:style>
  <w:style w:type="character" w:customStyle="1" w:styleId="23">
    <w:name w:val="列出段落 Char"/>
    <w:link w:val="24"/>
    <w:qFormat/>
    <w:locked/>
    <w:uiPriority w:val="34"/>
    <w:rPr>
      <w:rFonts w:ascii="宋体" w:hAnsi="宋体" w:eastAsia="宋体" w:cs="宋体"/>
      <w:kern w:val="0"/>
      <w:sz w:val="22"/>
      <w:lang w:val="zh-CN" w:bidi="zh-CN"/>
    </w:rPr>
  </w:style>
  <w:style w:type="paragraph" w:styleId="24">
    <w:name w:val="List Paragraph"/>
    <w:basedOn w:val="1"/>
    <w:link w:val="23"/>
    <w:qFormat/>
    <w:uiPriority w:val="34"/>
    <w:pPr>
      <w:autoSpaceDE w:val="0"/>
      <w:autoSpaceDN w:val="0"/>
      <w:ind w:left="1025" w:hanging="567"/>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605</Words>
  <Characters>3453</Characters>
  <Lines>28</Lines>
  <Paragraphs>8</Paragraphs>
  <TotalTime>1</TotalTime>
  <ScaleCrop>false</ScaleCrop>
  <LinksUpToDate>false</LinksUpToDate>
  <CharactersWithSpaces>4050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2020-06-17T13:30:00Z</dcterms:created>
  <dc:creator>19598</dc:creator>
  <cp:lastModifiedBy>Will</cp:lastModifiedBy>
  <dcterms:modified xsi:type="dcterms:W3CDTF">2020-06-18T07:00:22Z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